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100" w:type="dxa"/>
        <w:jc w:val="center"/>
        <w:tblInd w:w="0" w:type="dxa"/>
        <w:tblLayout w:type="fixed"/>
        <w:tblCellMar>
          <w:top w:w="28" w:type="dxa"/>
          <w:left w:w="28" w:type="dxa"/>
          <w:bottom w:w="28" w:type="dxa"/>
          <w:right w:w="28" w:type="dxa"/>
        </w:tblCellMar>
      </w:tblPr>
      <w:tblGrid>
        <w:gridCol w:w="391"/>
        <w:gridCol w:w="344"/>
        <w:gridCol w:w="346"/>
        <w:gridCol w:w="297"/>
        <w:gridCol w:w="297"/>
        <w:gridCol w:w="425"/>
      </w:tblGrid>
      <w:t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c>
          <w:tcPr>
            <w:tcW w:w="1081"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40"/>
              </w:rPr>
            </w:pPr>
            <w:r>
              <w:rPr>
                <w:rFonts w:ascii="Times New Roman;serif" w:hAnsi="Times New Roman;serif"/>
                <w:b/>
                <w:color w:val="000000"/>
                <w:sz w:val="40"/>
              </w:rPr>
              <w:t>Form</w:t>
            </w:r>
          </w:p>
        </w:tc>
        <w:tc>
          <w:tcPr>
            <w:tcW w:w="1019"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40"/>
              </w:rPr>
            </w:pPr>
            <w:r>
              <w:rPr>
                <w:rFonts w:ascii="Times New Roman;serif" w:hAnsi="Times New Roman;serif"/>
                <w:b/>
                <w:color w:val="000000"/>
                <w:sz w:val="40"/>
              </w:rPr>
              <w:t>10-Q</w:t>
            </w:r>
          </w:p>
        </w:tc>
      </w:tr>
    </w:tbl>
    <w:tbl>
      <w:tblPr>
        <w:tblW w:w="7902" w:type="dxa"/>
        <w:jc w:val="center"/>
        <w:tblInd w:w="0" w:type="dxa"/>
        <w:tblLayout w:type="fixed"/>
        <w:tblCellMar>
          <w:top w:w="28" w:type="dxa"/>
          <w:left w:w="28" w:type="dxa"/>
          <w:bottom w:w="28" w:type="dxa"/>
          <w:right w:w="28" w:type="dxa"/>
        </w:tblCellMar>
      </w:tblPr>
      <w:tblGrid>
        <w:gridCol w:w="124"/>
        <w:gridCol w:w="109"/>
        <w:gridCol w:w="109"/>
        <w:gridCol w:w="2214"/>
        <w:gridCol w:w="2214"/>
        <w:gridCol w:w="313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7946" w:type="dxa"/>
        <w:jc w:val="center"/>
        <w:tblInd w:w="0" w:type="dxa"/>
        <w:tblLayout w:type="fixed"/>
        <w:tblCellMar>
          <w:top w:w="28" w:type="dxa"/>
          <w:left w:w="28" w:type="dxa"/>
          <w:bottom w:w="28" w:type="dxa"/>
          <w:right w:w="28" w:type="dxa"/>
        </w:tblCellMar>
      </w:tblPr>
      <w:tblGrid>
        <w:gridCol w:w="124"/>
        <w:gridCol w:w="109"/>
        <w:gridCol w:w="109"/>
        <w:gridCol w:w="2221"/>
        <w:gridCol w:w="2221"/>
        <w:gridCol w:w="316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pPr>
      <w:r>
        <w:rPr>
          <w:rFonts w:ascii="Times New Roman;serif" w:hAnsi="Times New Roman;serif"/>
          <w:b/>
          <w:color w:val="000000"/>
          <w:sz w:val="20"/>
        </w:rPr>
        <w:t xml:space="preserve">For the transition period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100"/>
        <w:jc w:val="center"/>
        <w:rPr>
          <w:rFonts w:ascii="Times New Roman;serif" w:hAnsi="Times New Roman;serif"/>
          <w:b/>
          <w:color w:val="000000"/>
          <w:sz w:val="20"/>
        </w:rPr>
      </w:pPr>
      <w:r>
        <w:rPr>
          <w:rFonts w:ascii="Times New Roman;serif" w:hAnsi="Times New Roman;serif"/>
          <w:b/>
          <w:color w:val="000000"/>
          <w:sz w:val="20"/>
        </w:rPr>
        <w:t>Commission file number 001-10962</w:t>
      </w:r>
    </w:p>
    <w:tbl>
      <w:tblPr>
        <w:tblW w:w="3956" w:type="dxa"/>
        <w:jc w:val="center"/>
        <w:tblInd w:w="0" w:type="dxa"/>
        <w:tblLayout w:type="fixed"/>
        <w:tblCellMar>
          <w:top w:w="28" w:type="dxa"/>
          <w:left w:w="28" w:type="dxa"/>
          <w:bottom w:w="28" w:type="dxa"/>
          <w:right w:w="28" w:type="dxa"/>
        </w:tblCellMar>
      </w:tblPr>
      <w:tblGrid>
        <w:gridCol w:w="470"/>
        <w:gridCol w:w="412"/>
        <w:gridCol w:w="412"/>
        <w:gridCol w:w="412"/>
        <w:gridCol w:w="412"/>
        <w:gridCol w:w="412"/>
        <w:gridCol w:w="412"/>
        <w:gridCol w:w="412"/>
        <w:gridCol w:w="602"/>
      </w:tblGrid>
      <w:tr>
        <w:tc>
          <w:tcPr>
            <w:tcW w:w="4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Callaway Golf Company</w:t>
            </w:r>
          </w:p>
        </w:tc>
      </w:tr>
      <w:tr>
        <w:tc>
          <w:tcPr>
            <w:tcW w:w="3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c>
      </w:tr>
    </w:tbl>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95-3797580</w:t>
            </w:r>
          </w:p>
        </w:tc>
      </w:tr>
      <w:t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2180 Rutherford Road, Carlsbad, CA 92008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(760) 931-1771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49" w:type="dxa"/>
        <w:jc w:val="left"/>
        <w:tblInd w:w="0" w:type="dxa"/>
        <w:tblLayout w:type="fixed"/>
        <w:tblCellMar>
          <w:top w:w="28" w:type="dxa"/>
          <w:left w:w="28" w:type="dxa"/>
          <w:bottom w:w="28" w:type="dxa"/>
          <w:right w:w="28" w:type="dxa"/>
        </w:tblCellMar>
      </w:tblPr>
      <w:tblGrid>
        <w:gridCol w:w="1267"/>
        <w:gridCol w:w="1108"/>
        <w:gridCol w:w="1120"/>
        <w:gridCol w:w="564"/>
        <w:gridCol w:w="564"/>
        <w:gridCol w:w="566"/>
        <w:gridCol w:w="1157"/>
        <w:gridCol w:w="1157"/>
        <w:gridCol w:w="1646"/>
      </w:tblGrid>
      <w:tr>
        <w:tc>
          <w:tcPr>
            <w:tcW w:w="12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CALY</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120" w:after="283"/>
        <w:ind w:left="0" w:right="0" w:firstLine="495"/>
        <w:jc w:val="both"/>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ind w:left="0" w:right="0" w:firstLine="495"/>
        <w:jc w:val="both"/>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ind w:left="0" w:right="0" w:firstLine="495"/>
        <w:jc w:val="both"/>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pPr>
      <w:r>
        <w:rPr>
          <w:rFonts w:ascii="Times New Roman;serif" w:hAnsi="Times New Roman;serif"/>
          <w:b w:val="false"/>
          <w:color w:val="000000"/>
          <w:sz w:val="20"/>
        </w:rPr>
        <w:t>As of October 29, 2026, the number of shares outstanding of the Registrant’s common stock was</w:t>
      </w:r>
      <w:r>
        <w:rPr>
          <w:color w:val="000000"/>
          <w:shd w:fill="FFFFFF" w:val="clear"/>
        </w:rPr>
        <w:t xml:space="preserve"> </w:t>
      </w:r>
      <w:r>
        <w:rPr>
          <w:rFonts w:ascii="Times New Roman;serif" w:hAnsi="Times New Roman;serif"/>
          <w:b w:val="false"/>
          <w:color w:val="000000"/>
          <w:sz w:val="20"/>
          <w:shd w:fill="FFFFFF" w:val="clear"/>
        </w:rPr>
        <w:t>175,176,059.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495"/>
        <w:jc w:val="both"/>
      </w:pPr>
      <w:r>
        <w:rPr>
          <w:rFonts w:ascii="Times New Roman;serif" w:hAnsi="Times New Roman;serif"/>
          <w:b/>
          <w:i/>
          <w:color w:val="000000"/>
          <w:sz w:val="20"/>
        </w:rPr>
        <w:t>Important Notice to Investors Regarding Forward-Looking Statements:</w:t>
      </w:r>
      <w:r>
        <w:rPr>
          <w:color w:val="000000"/>
        </w:rPr>
        <w:t xml:space="preserve"> </w:t>
      </w:r>
      <w:r>
        <w:rPr>
          <w:rFonts w:ascii="Times New Roman;serif" w:hAnsi="Times New Roman;serif"/>
          <w:b w:val="false"/>
          <w:color w:val="000000"/>
          <w:sz w:val="20"/>
        </w:rPr>
        <w:t>This report contains “forward-looking statements” as defined under the Private Securities Litigation Reform Act of 1995. Forward-looking statements can be identified by words such as: “may,” “should,” “will,” “could,” “would,” “anticipate,” “plan,” “believe,” “project,” “estimate,” “expect,” “strategy,” “future,” “likely,” and similar references to future periods. Forward-looking statements include, among others, statements that relate to future plans, events, liquidity, financial results, performance, prospects or growth and scale opportunities including, but not limited to, statements relating to our intention to repurchase shares of our common stock pursuant to a stock repurchase program, the anticipated timing, amount and impact of the stock repurchase program, delivering long-term value for shareholders, further growth and investments in our core business, the anticipated benefits and other effects of the sale of the majority stake of our Topgolf business, the expected financial and operational performance of, and future opportunities for, each of the two independent companies following the sale, the tax treatment of the sale, future industry and market conditions, strength and demand of our products and services, continued brand momentum, demand for golf and outdoor activities and apparel, continued investments in the business, consumer trends and behavior, the strength of our brands, product lines and e-commerce business, pending litigation, availability of capital under our credit facilities, the capital markets or other sources, our cost reduction and margin improvement efforts, compliance with debt covenants, projected capital expenditures, future contractual obligations, the realization of deferred tax assets, including loss and credit carryforwards, future income tax provision, the future impact of new accounting standards, the impacts of inflation and changes in foreign exchange rates, the impact of tariffs and the timing and amount of any tariff refunds, and future prospects and growth of our businesses, including TravisMathew, LLC (“TravisMathew”) and OGIO International, Inc. (“OGIO”). These statements are based upon current information and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As a result of these uncertainties and because the information on which these forward-looking statements is based may ultimately prove to be incorrect, actual results may differ materially from those anticipated. Important factors that could cause actual results to differ include, among others, the following:</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certain risks and uncertainties, including changes in capital markets or economic conditions, particularly the uncertainty related to inflation, decreases in consumer demand and spending and any severe or prolonged economic downturn;</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the potential failure to realize the expected benefits of strategic transactions, in the expected timeframes or at all, including our recent divestitures of Jack Wolfskin and 60% of our Topgolf and Toptracer businesses;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consumer acceptance of and demand for our products;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 xml:space="preserve">future retailer purchasing activity, which can be significantly affected by adverse industry conditions and overall retail inventory levels; </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unfavorable changes in trade or other policies by the U.S. government or foreign governments, including restrictions on imports, increases in U.S. import tariffs, retaliatory tariffs imposed by other countries on U.S. imports, and the potential negative economic consequences thereof, including increased costs, unavailability of materials, inflation, decreased customer demand, an economic slowdown or general economic uncertainty;</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 xml:space="preserve">the level of promotional activity in the marketplace; </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future consumer discretionary purchasing activity, which can be significantly adversely affected by unfavorable economic or market conditions;</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future changes in foreign currency exchange rates and the degree of effectiveness of our hedging programs;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our ability to manage international business risks;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our ability to recognize operational synergies and scale opportunities across our supply chain and global business platform;</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adverse changes in the credit markets or continued compliance with the terms of our credit facilities;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our ability to monetize our investments, including without limitation, our remaining stake in Topgolf;</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our ability to successfully operate and, if applicable, expand the retail stores of TravisMathew and our Japan and Korea apparel businesses;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delays, difficulties or increased costs in the supply of components needed to manufacture our products or in manufacturing our products, including our dependence on a limited number of suppliers for some of our products;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16610"/>
                <wp:effectExtent l="0" t="0" r="0" b="0"/>
                <wp:wrapNone/>
                <wp:docPr id="2" name="Frame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Delays, difficulties or increased costs in the manufacturing, supply or transportation of such components or products due to increases in the price of oil and other raw materials;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adverse weather conditions and seasonality;</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any rule changes or other actions taken by the United States Golf Association or other golf associations that could have an adverse impact upon demand or supply of our products;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a decrease in participation levels in golf;</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the effect of terrorist activity, armed conflict, natural disasters or pandemic diseases, on the economy generally, on the level of demand for our products or on our ability to manage our supply and delivery logistics in such an environment; and</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the general risks and uncertainties applicable to us and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should not place undue reliance on these forward-looking statements, which are based on current information and speak only as of the date hereof. We undertake no obligation to update any forward-looking statements to reflect new information or events or circumstances after the date hereof or to reflect the occurrence of unanticipated events. Investors should also be aware that while we from time to time communicate with securities analysts, it is against our policy to disclose to them any material non-public information or other confidential commercial information. Furthermore, we have a policy against distributing or confirming financial forecasts or projections issued by analysts and any reports issued by such analysts are not our responsibility. Investors should not assume that we agree with any report issued by any analyst or with any statements, projections, forecasts or opinions contained in any such report. For details concerning these and other risks and uncertainties, see our most recent Annual Report on Form 10-K, as well as our quarterly reports on Form 10-Q and current reports on Form 8-K subsequently filed with the Securities and Exchange Commission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16610"/>
                <wp:effectExtent l="0" t="0" r="0" b="0"/>
                <wp:wrapNone/>
                <wp:docPr id="3" name="Frame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409"/>
        <w:gridCol w:w="321"/>
        <w:gridCol w:w="299"/>
        <w:gridCol w:w="2796"/>
        <w:gridCol w:w="2683"/>
        <w:gridCol w:w="2665"/>
        <w:gridCol w:w="299"/>
        <w:gridCol w:w="299"/>
        <w:gridCol w:w="434"/>
      </w:tblGrid>
      <w:tr>
        <w:tc>
          <w:tcPr>
            <w:tcW w:w="4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pPr>
            <w:hyperlink w:anchor="iae07ec7255384d50b1ea09e7cca8e571_13">
              <w:r>
                <w:rPr>
                  <w:rStyle w:val="InternetLink"/>
                  <w:rFonts w:ascii="Times New Roman;serif" w:hAnsi="Times New Roman;serif"/>
                  <w:b/>
                  <w:strike w:val="false"/>
                  <w:dstrike w:val="false"/>
                  <w:color w:val="000000"/>
                  <w:sz w:val="20"/>
                  <w:u w:val="none"/>
                  <w:effect w:val="none"/>
                </w:rPr>
                <w:t>PART I. FINANCIAL INFORMATION</w:t>
              </w:r>
            </w:hyperlink>
          </w:p>
        </w:tc>
      </w:tr>
      <w:t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16">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3">
              <w:r>
                <w:rPr>
                  <w:rStyle w:val="InternetLink"/>
                  <w:rFonts w:ascii="Times New Roman;serif" w:hAnsi="Times New Roman;serif"/>
                  <w:b w:val="false"/>
                  <w:strike w:val="false"/>
                  <w:dstrike w:val="false"/>
                  <w:color w:val="000000"/>
                  <w:sz w:val="20"/>
                  <w:u w:val="none"/>
                  <w:effect w:val="none"/>
                </w:rPr>
                <w:t>5</w:t>
              </w:r>
            </w:hyperlink>
          </w:p>
        </w:tc>
      </w:tr>
      <w:t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19">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September 30, 2026</w:t>
            </w:r>
            <w:hyperlink w:anchor="iae07ec7255384d50b1ea09e7cca8e571_1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9">
              <w:r>
                <w:rPr>
                  <w:rStyle w:val="InternetLink"/>
                  <w:rFonts w:ascii="Times New Roman;serif" w:hAnsi="Times New Roman;serif"/>
                  <w:b w:val="false"/>
                  <w:strike w:val="false"/>
                  <w:dstrike w:val="false"/>
                  <w:color w:val="000000"/>
                  <w:sz w:val="20"/>
                  <w:u w:val="none"/>
                  <w:effect w:val="none"/>
                </w:rPr>
                <w:t>5</w:t>
              </w:r>
            </w:hyperlink>
          </w:p>
        </w:tc>
      </w:tr>
      <w:t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22">
              <w:r>
                <w:rPr>
                  <w:rStyle w:val="InternetLink"/>
                  <w:rFonts w:ascii="Times New Roman;serif" w:hAnsi="Times New Roman;serif"/>
                  <w:b w:val="false"/>
                  <w:strike w:val="false"/>
                  <w:dstrike w:val="false"/>
                  <w:color w:val="000000"/>
                  <w:sz w:val="20"/>
                  <w:u w:val="none"/>
                  <w:effect w:val="none"/>
                </w:rPr>
                <w:t>Condensed Consolidated Statements of Operations for the</w:t>
              </w:r>
            </w:hyperlink>
            <w:r>
              <w:rPr>
                <w:rFonts w:ascii="Times New Roman;serif" w:hAnsi="Times New Roman;serif"/>
                <w:b w:val="false"/>
                <w:color w:val="000000"/>
                <w:sz w:val="20"/>
              </w:rPr>
              <w:t xml:space="preserve"> three and nine months</w:t>
            </w:r>
            <w:hyperlink w:anchor="iae07ec7255384d50b1ea09e7cca8e571_22">
              <w:r>
                <w:rPr>
                  <w:rStyle w:val="InternetLink"/>
                  <w:rFonts w:ascii="Times New Roman;serif" w:hAnsi="Times New Roman;serif"/>
                  <w:b w:val="false"/>
                  <w:strike w:val="false"/>
                  <w:dstrike w:val="false"/>
                  <w:color w:val="000000"/>
                  <w:sz w:val="20"/>
                  <w:u w:val="none"/>
                  <w:effect w:val="none"/>
                </w:rPr>
                <w:t xml:space="preserve"> ended </w:t>
              </w:r>
            </w:hyperlink>
            <w:r>
              <w:rPr>
                <w:rFonts w:ascii="Times New Roman;serif" w:hAnsi="Times New Roman;serif"/>
                <w:b w:val="false"/>
                <w:color w:val="000000"/>
                <w:sz w:val="20"/>
              </w:rPr>
              <w:t>September 30, 2026</w:t>
            </w:r>
            <w:hyperlink w:anchor="iae07ec7255384d50b1ea09e7cca8e571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22">
              <w:r>
                <w:rPr>
                  <w:rStyle w:val="InternetLink"/>
                  <w:rFonts w:ascii="Times New Roman;serif" w:hAnsi="Times New Roman;serif"/>
                  <w:b w:val="false"/>
                  <w:strike w:val="false"/>
                  <w:dstrike w:val="false"/>
                  <w:color w:val="000000"/>
                  <w:sz w:val="20"/>
                  <w:u w:val="none"/>
                  <w:effect w:val="none"/>
                </w:rPr>
                <w:t>6</w:t>
              </w:r>
            </w:hyperlink>
          </w:p>
        </w:tc>
      </w:tr>
      <w:t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25">
              <w:r>
                <w:rPr>
                  <w:rStyle w:val="InternetLink"/>
                  <w:rFonts w:ascii="Times New Roman;serif" w:hAnsi="Times New Roman;serif"/>
                  <w:b w:val="false"/>
                  <w:strike w:val="false"/>
                  <w:dstrike w:val="false"/>
                  <w:color w:val="000000"/>
                  <w:sz w:val="20"/>
                  <w:u w:val="none"/>
                  <w:effect w:val="none"/>
                </w:rPr>
                <w:t>Condensed Consolidated Statements of Comprehensive Income (Loss)</w:t>
              </w:r>
            </w:hyperlink>
            <w:r>
              <w:rPr>
                <w:rFonts w:ascii="Times New Roman;serif" w:hAnsi="Times New Roman;serif"/>
                <w:b w:val="false"/>
                <w:color w:val="000000"/>
                <w:sz w:val="20"/>
              </w:rPr>
              <w:t xml:space="preserve"> for the three and nine</w:t>
            </w:r>
            <w:hyperlink w:anchor="iae07ec7255384d50b1ea09e7cca8e571_25">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September 30, 2026</w:t>
            </w:r>
            <w:hyperlink w:anchor="iae07ec7255384d50b1ea09e7cca8e571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25">
              <w:r>
                <w:rPr>
                  <w:rStyle w:val="InternetLink"/>
                  <w:rFonts w:ascii="Times New Roman;serif" w:hAnsi="Times New Roman;serif"/>
                  <w:b w:val="false"/>
                  <w:strike w:val="false"/>
                  <w:dstrike w:val="false"/>
                  <w:color w:val="000000"/>
                  <w:sz w:val="20"/>
                  <w:u w:val="none"/>
                  <w:effect w:val="none"/>
                </w:rPr>
                <w:t>7</w:t>
              </w:r>
            </w:hyperlink>
          </w:p>
        </w:tc>
      </w:tr>
      <w:t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28">
              <w:r>
                <w:rPr>
                  <w:rStyle w:val="InternetLink"/>
                  <w:rFonts w:ascii="Times New Roman;serif" w:hAnsi="Times New Roman;serif"/>
                  <w:b w:val="false"/>
                  <w:strike w:val="false"/>
                  <w:dstrike w:val="false"/>
                  <w:color w:val="000000"/>
                  <w:sz w:val="20"/>
                  <w:u w:val="none"/>
                  <w:effect w:val="none"/>
                </w:rPr>
                <w:t>Condensed Consolidated Statements of Cash Flows for the</w:t>
              </w:r>
            </w:hyperlink>
            <w:r>
              <w:rPr>
                <w:rFonts w:ascii="Times New Roman;serif" w:hAnsi="Times New Roman;serif"/>
                <w:b w:val="false"/>
                <w:color w:val="000000"/>
                <w:sz w:val="20"/>
              </w:rPr>
              <w:t xml:space="preserve"> nine </w:t>
            </w:r>
            <w:hyperlink w:anchor="iae07ec7255384d50b1ea09e7cca8e571_28">
              <w:r>
                <w:rPr>
                  <w:rStyle w:val="InternetLink"/>
                  <w:rFonts w:ascii="Times New Roman;serif" w:hAnsi="Times New Roman;serif"/>
                  <w:b w:val="false"/>
                  <w:strike w:val="false"/>
                  <w:dstrike w:val="false"/>
                  <w:color w:val="000000"/>
                  <w:sz w:val="20"/>
                  <w:u w:val="none"/>
                  <w:effect w:val="none"/>
                </w:rPr>
                <w:t xml:space="preserve">months ended </w:t>
              </w:r>
            </w:hyperlink>
            <w:r>
              <w:rPr>
                <w:rFonts w:ascii="Times New Roman;serif" w:hAnsi="Times New Roman;serif"/>
                <w:b w:val="false"/>
                <w:color w:val="000000"/>
                <w:sz w:val="20"/>
              </w:rPr>
              <w:t>September 30, 2026</w:t>
            </w:r>
            <w:hyperlink w:anchor="iae07ec7255384d50b1ea09e7cca8e571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28">
              <w:r>
                <w:rPr>
                  <w:rStyle w:val="InternetLink"/>
                  <w:rFonts w:ascii="Times New Roman;serif" w:hAnsi="Times New Roman;serif"/>
                  <w:b w:val="false"/>
                  <w:strike w:val="false"/>
                  <w:dstrike w:val="false"/>
                  <w:color w:val="000000"/>
                  <w:sz w:val="20"/>
                  <w:u w:val="none"/>
                  <w:effect w:val="none"/>
                </w:rPr>
                <w:t>8</w:t>
              </w:r>
            </w:hyperlink>
          </w:p>
        </w:tc>
      </w:tr>
      <w:t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07ec7255384d50b1ea09e7cca8e571_31">
              <w:r>
                <w:rPr>
                  <w:rStyle w:val="InternetLink"/>
                  <w:rFonts w:ascii="Times New Roman;serif" w:hAnsi="Times New Roman;serif"/>
                  <w:b w:val="false"/>
                  <w:strike w:val="false"/>
                  <w:dstrike w:val="false"/>
                  <w:color w:val="000000"/>
                  <w:sz w:val="20"/>
                  <w:u w:val="none"/>
                  <w:effect w:val="none"/>
                </w:rPr>
                <w:t>Condensed Consolidated Statements of Shareholders’ Equity for the</w:t>
              </w:r>
            </w:hyperlink>
            <w:r>
              <w:rPr>
                <w:rFonts w:ascii="Times New Roman;serif" w:hAnsi="Times New Roman;serif"/>
                <w:b w:val="false"/>
                <w:color w:val="000000"/>
                <w:sz w:val="20"/>
              </w:rPr>
              <w:t xml:space="preserve"> three and nine</w:t>
            </w:r>
            <w:hyperlink w:anchor="iae07ec7255384d50b1ea09e7cca8e571_31">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September 30, 2026</w:t>
            </w:r>
            <w:hyperlink w:anchor="iae07ec7255384d50b1ea09e7cca8e571_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31">
              <w:r>
                <w:rPr>
                  <w:rStyle w:val="InternetLink"/>
                  <w:rFonts w:ascii="Times New Roman;serif" w:hAnsi="Times New Roman;serif"/>
                  <w:b w:val="false"/>
                  <w:strike w:val="false"/>
                  <w:dstrike w:val="false"/>
                  <w:color w:val="000000"/>
                  <w:sz w:val="20"/>
                  <w:u w:val="none"/>
                  <w:effect w:val="none"/>
                </w:rPr>
                <w:t>9</w:t>
              </w:r>
            </w:hyperlink>
          </w:p>
        </w:tc>
      </w:tr>
      <w:t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34">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34">
              <w:r>
                <w:rPr>
                  <w:rStyle w:val="InternetLink"/>
                  <w:rFonts w:ascii="Times New Roman;serif" w:hAnsi="Times New Roman;serif"/>
                  <w:b w:val="false"/>
                  <w:strike w:val="false"/>
                  <w:dstrike w:val="false"/>
                  <w:color w:val="000000"/>
                  <w:sz w:val="20"/>
                  <w:u w:val="none"/>
                  <w:effect w:val="none"/>
                </w:rPr>
                <w:t>11</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106">
              <w:r>
                <w:rPr>
                  <w:rStyle w:val="InternetLink"/>
                  <w:rFonts w:ascii="Times New Roman;serif" w:hAnsi="Times New Roman;serif"/>
                  <w:b w:val="false"/>
                  <w:strike w:val="false"/>
                  <w:dstrike w:val="false"/>
                  <w:color w:val="000080"/>
                  <w:sz w:val="20"/>
                  <w:u w:val="single"/>
                  <w:effect w:val="none"/>
                </w:rPr>
                <w:t>Management</w:t>
              </w:r>
            </w:hyperlink>
            <w:hyperlink w:anchor="iae07ec7255384d50b1ea09e7cca8e571_106">
              <w:r>
                <w:rPr>
                  <w:rStyle w:val="InternetLink"/>
                  <w:rFonts w:ascii="Times New Roman;serif" w:hAnsi="Times New Roman;serif"/>
                  <w:b w:val="false"/>
                  <w:strike w:val="false"/>
                  <w:dstrike w:val="false"/>
                  <w:color w:val="000080"/>
                  <w:sz w:val="20"/>
                  <w:u w:val="single"/>
                  <w:effect w:val="none"/>
                </w:rPr>
                <w:t>’</w:t>
              </w:r>
            </w:hyperlink>
            <w:hyperlink w:anchor="iae07ec7255384d50b1ea09e7cca8e571_106">
              <w:r>
                <w:rPr>
                  <w:rStyle w:val="InternetLink"/>
                  <w:rFonts w:ascii="Times New Roman;serif" w:hAnsi="Times New Roman;serif"/>
                  <w:b w:val="false"/>
                  <w:strike w:val="false"/>
                  <w:dstrike w:val="false"/>
                  <w:color w:val="000080"/>
                  <w:sz w:val="20"/>
                  <w:u w:val="single"/>
                  <w:effect w:val="none"/>
                </w:rPr>
                <w:t>s Discussion and Analysis of Financial Condition and Results of Operations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06">
              <w:r>
                <w:rPr>
                  <w:rStyle w:val="InternetLink"/>
                  <w:rFonts w:ascii="Times New Roman;serif" w:hAnsi="Times New Roman;serif"/>
                  <w:b w:val="false"/>
                  <w:strike w:val="false"/>
                  <w:dstrike w:val="false"/>
                  <w:color w:val="000000"/>
                  <w:sz w:val="20"/>
                  <w:u w:val="none"/>
                  <w:effect w:val="none"/>
                </w:rPr>
                <w:t>33</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181">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81">
              <w:r>
                <w:rPr>
                  <w:rStyle w:val="InternetLink"/>
                  <w:rFonts w:ascii="Times New Roman;serif" w:hAnsi="Times New Roman;serif"/>
                  <w:b w:val="false"/>
                  <w:strike w:val="false"/>
                  <w:dstrike w:val="false"/>
                  <w:color w:val="000000"/>
                  <w:sz w:val="20"/>
                  <w:u w:val="none"/>
                  <w:effect w:val="none"/>
                </w:rPr>
                <w:t>46</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iae07ec7255384d50b1ea09e7cca8e571_184">
              <w:r>
                <w:rPr>
                  <w:rStyle w:val="InternetLink"/>
                  <w:rFonts w:ascii="Times New Roman;serif" w:hAnsi="Times New Roman;serif"/>
                  <w:b w:val="false"/>
                  <w:strike w:val="false"/>
                  <w:dstrike w:val="false"/>
                  <w:color w:val="000000"/>
                  <w:sz w:val="20"/>
                  <w:u w:val="none"/>
                  <w:effect w:val="none"/>
                </w:rPr>
                <w:t>Controls and Procedures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84">
              <w:r>
                <w:rPr>
                  <w:rStyle w:val="InternetLink"/>
                  <w:rFonts w:ascii="Times New Roman;serif" w:hAnsi="Times New Roman;serif"/>
                  <w:b w:val="false"/>
                  <w:strike w:val="false"/>
                  <w:dstrike w:val="false"/>
                  <w:color w:val="000000"/>
                  <w:sz w:val="20"/>
                  <w:u w:val="none"/>
                  <w:effect w:val="none"/>
                </w:rPr>
                <w:t>47</w:t>
              </w:r>
            </w:hyperlink>
          </w:p>
        </w:tc>
      </w:tr>
      <w:t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pPr>
            <w:hyperlink w:anchor="iae07ec7255384d50b1ea09e7cca8e571_187">
              <w:r>
                <w:rPr>
                  <w:rStyle w:val="InternetLink"/>
                  <w:rFonts w:ascii="Times New Roman;serif" w:hAnsi="Times New Roman;serif"/>
                  <w:b/>
                  <w:strike w:val="false"/>
                  <w:dstrike w:val="false"/>
                  <w:color w:val="000000"/>
                  <w:sz w:val="20"/>
                  <w:u w:val="none"/>
                  <w:effect w:val="none"/>
                </w:rPr>
                <w:t>PART II. OTHER INFORMATION</w:t>
              </w:r>
            </w:hyperlink>
          </w:p>
        </w:tc>
      </w:tr>
      <w:t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07ec7255384d50b1ea09e7cca8e571_190">
              <w:r>
                <w:rPr>
                  <w:rStyle w:val="InternetLink"/>
                  <w:rFonts w:ascii="Times New Roman;serif" w:hAnsi="Times New Roman;serif"/>
                  <w:b w:val="false"/>
                  <w:strike w:val="false"/>
                  <w:dstrike w:val="false"/>
                  <w:color w:val="000000"/>
                  <w:sz w:val="20"/>
                  <w:u w:val="none"/>
                  <w:effect w:val="none"/>
                </w:rPr>
                <w:t>Legal Proceedings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90">
              <w:r>
                <w:rPr>
                  <w:rStyle w:val="InternetLink"/>
                  <w:rFonts w:ascii="Times New Roman;serif" w:hAnsi="Times New Roman;serif"/>
                  <w:b w:val="false"/>
                  <w:strike w:val="false"/>
                  <w:dstrike w:val="false"/>
                  <w:color w:val="000000"/>
                  <w:sz w:val="20"/>
                  <w:u w:val="none"/>
                  <w:effect w:val="none"/>
                </w:rPr>
                <w:t>48</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07ec7255384d50b1ea09e7cca8e571_193">
              <w:r>
                <w:rPr>
                  <w:rStyle w:val="InternetLink"/>
                  <w:rFonts w:ascii="Times New Roman;serif" w:hAnsi="Times New Roman;serif"/>
                  <w:b w:val="false"/>
                  <w:strike w:val="false"/>
                  <w:dstrike w:val="false"/>
                  <w:color w:val="000000"/>
                  <w:sz w:val="20"/>
                  <w:u w:val="none"/>
                  <w:effect w:val="none"/>
                </w:rPr>
                <w:t>Risk Factors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93">
              <w:r>
                <w:rPr>
                  <w:rStyle w:val="InternetLink"/>
                  <w:rFonts w:ascii="Times New Roman;serif" w:hAnsi="Times New Roman;serif"/>
                  <w:b w:val="false"/>
                  <w:strike w:val="false"/>
                  <w:dstrike w:val="false"/>
                  <w:color w:val="000000"/>
                  <w:sz w:val="20"/>
                  <w:u w:val="none"/>
                  <w:effect w:val="none"/>
                </w:rPr>
                <w:t>48</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07ec7255384d50b1ea09e7cca8e571_196">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96">
              <w:r>
                <w:rPr>
                  <w:rStyle w:val="InternetLink"/>
                  <w:rFonts w:ascii="Times New Roman;serif" w:hAnsi="Times New Roman;serif"/>
                  <w:b w:val="false"/>
                  <w:strike w:val="false"/>
                  <w:dstrike w:val="false"/>
                  <w:color w:val="000000"/>
                  <w:sz w:val="20"/>
                  <w:u w:val="none"/>
                  <w:effect w:val="none"/>
                </w:rPr>
                <w:t>48</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07ec7255384d50b1ea09e7cca8e571_199">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199">
              <w:r>
                <w:rPr>
                  <w:rStyle w:val="InternetLink"/>
                  <w:rFonts w:ascii="Times New Roman;serif" w:hAnsi="Times New Roman;serif"/>
                  <w:b w:val="false"/>
                  <w:strike w:val="false"/>
                  <w:dstrike w:val="false"/>
                  <w:color w:val="000000"/>
                  <w:sz w:val="20"/>
                  <w:u w:val="none"/>
                  <w:effect w:val="none"/>
                </w:rPr>
                <w:t>48</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07ec7255384d50b1ea09e7cca8e571_202">
              <w:r>
                <w:rPr>
                  <w:rStyle w:val="InternetLink"/>
                  <w:rFonts w:ascii="Times New Roman;serif" w:hAnsi="Times New Roman;serif"/>
                  <w:b w:val="false"/>
                  <w:strike w:val="false"/>
                  <w:dstrike w:val="false"/>
                  <w:color w:val="000000"/>
                  <w:sz w:val="20"/>
                  <w:u w:val="none"/>
                  <w:effect w:val="none"/>
                </w:rPr>
                <w:t>Mine Safety Disclosures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202">
              <w:r>
                <w:rPr>
                  <w:rStyle w:val="InternetLink"/>
                  <w:rFonts w:ascii="Times New Roman;serif" w:hAnsi="Times New Roman;serif"/>
                  <w:b w:val="false"/>
                  <w:strike w:val="false"/>
                  <w:dstrike w:val="false"/>
                  <w:color w:val="000000"/>
                  <w:sz w:val="20"/>
                  <w:u w:val="none"/>
                  <w:effect w:val="none"/>
                </w:rPr>
                <w:t>48</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07ec7255384d50b1ea09e7cca8e571_205">
              <w:r>
                <w:rPr>
                  <w:rStyle w:val="InternetLink"/>
                  <w:rFonts w:ascii="Times New Roman;serif" w:hAnsi="Times New Roman;serif"/>
                  <w:b w:val="false"/>
                  <w:strike w:val="false"/>
                  <w:dstrike w:val="false"/>
                  <w:color w:val="000000"/>
                  <w:sz w:val="20"/>
                  <w:u w:val="none"/>
                  <w:effect w:val="none"/>
                </w:rPr>
                <w:t>Other Information</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205">
              <w:r>
                <w:rPr>
                  <w:rStyle w:val="InternetLink"/>
                  <w:rFonts w:ascii="Times New Roman;serif" w:hAnsi="Times New Roman;serif"/>
                  <w:b w:val="false"/>
                  <w:strike w:val="false"/>
                  <w:dstrike w:val="false"/>
                  <w:color w:val="000000"/>
                  <w:sz w:val="20"/>
                  <w:u w:val="none"/>
                  <w:effect w:val="none"/>
                </w:rPr>
                <w:t>49</w:t>
              </w:r>
            </w:hyperlink>
          </w:p>
        </w:tc>
      </w:tr>
      <w:tr>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4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ae07ec7255384d50b1ea09e7cca8e571_208">
              <w:r>
                <w:rPr>
                  <w:rStyle w:val="InternetLink"/>
                  <w:rFonts w:ascii="Times New Roman;serif" w:hAnsi="Times New Roman;serif"/>
                  <w:b w:val="false"/>
                  <w:strike w:val="false"/>
                  <w:dstrike w:val="false"/>
                  <w:color w:val="000000"/>
                  <w:sz w:val="20"/>
                  <w:u w:val="none"/>
                  <w:effect w:val="none"/>
                </w:rPr>
                <w:t>Exhibits</w:t>
              </w:r>
            </w:hyperlink>
          </w:p>
        </w:tc>
        <w:tc>
          <w:tcPr>
            <w:tcW w:w="1032"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ae07ec7255384d50b1ea09e7cca8e571_208">
              <w:r>
                <w:rPr>
                  <w:rStyle w:val="InternetLink"/>
                  <w:rFonts w:ascii="Times New Roman;serif" w:hAnsi="Times New Roman;serif"/>
                  <w:b w:val="false"/>
                  <w:strike w:val="false"/>
                  <w:dstrike w:val="false"/>
                  <w:color w:val="000000"/>
                  <w:sz w:val="20"/>
                  <w:u w:val="none"/>
                  <w:effect w:val="none"/>
                </w:rPr>
                <w:t>49</w:t>
              </w:r>
            </w:hyperlink>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16610"/>
                <wp:effectExtent l="0" t="0" r="0" b="0"/>
                <wp:wrapNone/>
                <wp:docPr id="4" name="Frame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pPr>
      <w:r>
        <w:rPr>
          <w:rFonts w:ascii="Times New Roman;serif" w:hAnsi="Times New Roman;serif"/>
          <w:b/>
          <w:color w:val="000000"/>
          <w:sz w:val="20"/>
        </w:rPr>
        <w:t>Item 1.    </w:t>
      </w:r>
      <w:r>
        <w:rPr>
          <w:rFonts w:ascii="Times New Roman;serif" w:hAnsi="Times New Roman;serif"/>
          <w:b/>
          <w:i/>
          <w:color w:val="000000"/>
          <w:sz w:val="20"/>
        </w:rPr>
        <w:t>Financial Statements (Unaudited)</w:t>
      </w:r>
    </w:p>
    <w:p>
      <w:pPr>
        <w:pStyle w:val="TextBody"/>
        <w:bidi w:val="0"/>
        <w:spacing w:before="12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2"/>
        <w:gridCol w:w="2180"/>
        <w:gridCol w:w="2187"/>
        <w:gridCol w:w="261"/>
        <w:gridCol w:w="922"/>
        <w:gridCol w:w="145"/>
        <w:gridCol w:w="109"/>
        <w:gridCol w:w="109"/>
        <w:gridCol w:w="109"/>
        <w:gridCol w:w="253"/>
        <w:gridCol w:w="894"/>
        <w:gridCol w:w="204"/>
      </w:tblGrid>
      <w:tr>
        <w:tc>
          <w:tcPr>
            <w:tcW w:w="283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of $4.6 million and $4.9 million, respectively</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 (Note 3)</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method investments (Note 9)</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Deferred tax assets, long-term</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benefits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current portion</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Asset-based credit facilities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 (Note 3)</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3.0 million shares authorized, none issued and outstanding at both September 30, 2026 and December 31, 2025</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360.0 million shares authorized, and 186.2 million shares issued at both September 30, 2026 and December 31, 2025</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Common stock held in treasury, at cost, 10.0 million and 2.3 million shares as of September 30, 2026 and December 31, 2025, respectively</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2,780.9 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16610"/>
                <wp:effectExtent l="0" t="0" r="0" b="0"/>
                <wp:wrapNone/>
                <wp:docPr id="5" name="Frame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199" w:type="dxa"/>
        <w:jc w:val="center"/>
        <w:tblInd w:w="0" w:type="dxa"/>
        <w:tblLayout w:type="fixed"/>
        <w:tblCellMar>
          <w:top w:w="28" w:type="dxa"/>
          <w:left w:w="28" w:type="dxa"/>
          <w:bottom w:w="28" w:type="dxa"/>
          <w:right w:w="28" w:type="dxa"/>
        </w:tblCellMar>
      </w:tblPr>
      <w:tblGrid>
        <w:gridCol w:w="1643"/>
        <w:gridCol w:w="1450"/>
        <w:gridCol w:w="1467"/>
        <w:gridCol w:w="256"/>
        <w:gridCol w:w="728"/>
        <w:gridCol w:w="142"/>
        <w:gridCol w:w="142"/>
        <w:gridCol w:w="142"/>
        <w:gridCol w:w="142"/>
        <w:gridCol w:w="256"/>
        <w:gridCol w:w="728"/>
        <w:gridCol w:w="142"/>
        <w:gridCol w:w="109"/>
        <w:gridCol w:w="109"/>
        <w:gridCol w:w="109"/>
        <w:gridCol w:w="218"/>
        <w:gridCol w:w="771"/>
        <w:gridCol w:w="121"/>
        <w:gridCol w:w="121"/>
        <w:gridCol w:w="121"/>
        <w:gridCol w:w="121"/>
        <w:gridCol w:w="218"/>
        <w:gridCol w:w="771"/>
        <w:gridCol w:w="172"/>
      </w:tblGrid>
      <w:tr>
        <w:tc>
          <w:tcPr>
            <w:tcW w:w="164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expenses: </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method investments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both"/>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16610"/>
                <wp:effectExtent l="0" t="0" r="0" b="0"/>
                <wp:wrapNone/>
                <wp:docPr id="6" name="Frame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762"/>
        <w:gridCol w:w="1547"/>
        <w:gridCol w:w="1520"/>
        <w:gridCol w:w="256"/>
        <w:gridCol w:w="609"/>
        <w:gridCol w:w="142"/>
        <w:gridCol w:w="142"/>
        <w:gridCol w:w="142"/>
        <w:gridCol w:w="142"/>
        <w:gridCol w:w="256"/>
        <w:gridCol w:w="696"/>
        <w:gridCol w:w="142"/>
        <w:gridCol w:w="109"/>
        <w:gridCol w:w="109"/>
        <w:gridCol w:w="109"/>
        <w:gridCol w:w="246"/>
        <w:gridCol w:w="698"/>
        <w:gridCol w:w="136"/>
        <w:gridCol w:w="136"/>
        <w:gridCol w:w="136"/>
        <w:gridCol w:w="136"/>
        <w:gridCol w:w="246"/>
        <w:gridCol w:w="586"/>
        <w:gridCol w:w="202"/>
      </w:tblGrid>
      <w:tr>
        <w:tc>
          <w:tcPr>
            <w:tcW w:w="176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adjustments recognized from the sales of business lines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before income tax</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 on derivative instruments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c>
          <w:tcPr>
            <w:tcW w:w="4829"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pPr>
      <w:r/>
    </w:p>
    <w:p>
      <w:pPr>
        <w:pStyle w:val="TextBody"/>
        <w:bidi w:val="0"/>
        <w:spacing w:before="0" w:after="0"/>
        <w:jc w:val="left"/>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16610"/>
                <wp:effectExtent l="0" t="0" r="0" b="0"/>
                <wp:wrapNone/>
                <wp:docPr id="7" name="Frame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2651"/>
        <w:gridCol w:w="2076"/>
        <w:gridCol w:w="2086"/>
        <w:gridCol w:w="315"/>
        <w:gridCol w:w="865"/>
        <w:gridCol w:w="189"/>
        <w:gridCol w:w="189"/>
        <w:gridCol w:w="189"/>
        <w:gridCol w:w="189"/>
        <w:gridCol w:w="315"/>
        <w:gridCol w:w="865"/>
        <w:gridCol w:w="276"/>
      </w:tblGrid>
      <w:tr>
        <w:tc>
          <w:tcPr>
            <w:tcW w:w="265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Nine Months Ended September 30,</w:t>
            </w:r>
          </w:p>
        </w:tc>
      </w:tr>
      <w:tr>
        <w:tc>
          <w:tcPr>
            <w:tcW w:w="6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operating activities: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 from continuing operations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Adjustments to reconcile net income (loss) from continuing operations to net cash provided by (used in) operating activities:</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Loss from equity method investments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lease termination incentive</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Loss from debt extinguishment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Unrealized net losses (gains) on hedging instruments and foreign currency</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sale of investment in golf-related ventures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investment from golf-related ventures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assets and liabilities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assets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 and accrued expenses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employee compensation and benefits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Lease assets and liabilities,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taxes receivable/payable, net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liabilities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operating activities - continuing operations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272.4 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157.8 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operating activities - discontinued operations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operating activities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272.4 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270.1 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investing activities: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 expenditures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 of investment in golf-related ventures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in golf-related ventures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of intangible assets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from equity method investments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 of business line, net of cash retained</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 - continuing operations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821.1 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 - discontinued operations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821.1 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financing activities:</w:t>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Repayments of long-term debt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(1,428.2)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(repayments) on credit facilities,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Debt issuance costs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Repayments of financing leases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Exercise of stock options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of treasury stock</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 - continuing operations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(1,564.8)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 - discontinued operations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(1,564.8)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65.4 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Effect of exchange rate changes on cash, cash equivalents and restricted cash</w:t>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increase (decrease) in cash, cash equivalents and restricted cash</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(469.8)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415.6 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at beginning of period</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450.3 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at end of period</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433.7 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865.9 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Less: restricted cash of continuing and discontinued operations at end of period</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 of continuing operations at end of period</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433.5 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865.6 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5"/>
              </w:rPr>
              <w:t xml:space="preserve">Supplemental disclosures </w:t>
            </w:r>
            <w:r>
              <w:rPr>
                <w:rFonts w:ascii="Times New Roman;serif" w:hAnsi="Times New Roman;serif"/>
                <w:b w:val="false"/>
                <w:color w:val="000000"/>
                <w:sz w:val="10"/>
              </w:rPr>
              <w:t>(1)</w:t>
            </w:r>
            <w:r>
              <w:rPr>
                <w:rFonts w:ascii="Times New Roman;serif" w:hAnsi="Times New Roman;serif"/>
                <w:b w:val="false"/>
                <w:color w:val="000000"/>
                <w:sz w:val="15"/>
              </w:rPr>
              <w:t>:</w:t>
            </w:r>
          </w:p>
        </w:tc>
        <w:tc>
          <w:tcPr>
            <w:tcW w:w="13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income taxes, net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interest and fees</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investing and financing activities:</w:t>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treasury stock and common stock for compensatory stock awards released from restriction</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capital expenditures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Financed additions of capital expenditures</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capitalized to equity method investment</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5"/>
              </w:rPr>
              <w:t>For 2026, Supplemental disclosures and Non</w:t>
              <w:noBreakHyphen/>
              <w:t>cash investing and financing activities relate solely to continuing operations. For 2025, Supplemental disclosures and Non</w:t>
              <w:noBreakHyphen/>
              <w:t>cash investing and financing activities include amounts related to both continuing and discontinued operations. For 2025, $6.4 million of cash paid for income taxes, net, $103.2 million of cash paid for interest and fees, $27.9 million of accrued capital expenditures, and $2.5 million of financed additions of capital expenditures were attributable to discontinued operations.</w:t>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3392" w:type="dxa"/>
            <w:gridSpan w:val="9"/>
            <w:tcBorders/>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3392" w:type="dxa"/>
            <w:gridSpan w:val="9"/>
            <w:tcBorders/>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3392" w:type="dxa"/>
            <w:gridSpan w:val="9"/>
            <w:tcBorders/>
          </w:tcPr>
          <w:p>
            <w:pPr>
              <w:pStyle w:val="TableContents"/>
              <w:bidi w:val="0"/>
              <w:spacing w:before="0" w:after="283"/>
              <w:jc w:val="left"/>
              <w:rPr>
                <w:sz w:val="4"/>
                <w:szCs w:val="4"/>
              </w:rPr>
            </w:pPr>
            <w:r>
              <w:rPr>
                <w:sz w:val="4"/>
                <w:szCs w:val="4"/>
              </w:rPr>
            </w:r>
          </w:p>
        </w:tc>
      </w:tr>
      <w:tr>
        <w:tc>
          <w:tcPr>
            <w:tcW w:w="6813" w:type="dxa"/>
            <w:gridSpan w:val="3"/>
            <w:tcBorders/>
            <w:vAlign w:val="center"/>
          </w:tcPr>
          <w:p>
            <w:pPr>
              <w:pStyle w:val="TableContents"/>
              <w:bidi w:val="0"/>
              <w:spacing w:before="0" w:after="283"/>
              <w:jc w:val="left"/>
              <w:rPr>
                <w:sz w:val="4"/>
                <w:szCs w:val="4"/>
              </w:rPr>
            </w:pPr>
            <w:r>
              <w:rPr>
                <w:sz w:val="4"/>
                <w:szCs w:val="4"/>
              </w:rPr>
            </w:r>
          </w:p>
        </w:tc>
        <w:tc>
          <w:tcPr>
            <w:tcW w:w="3392"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16610"/>
                <wp:effectExtent l="0" t="0" r="0" b="0"/>
                <wp:wrapNone/>
                <wp:docPr id="8" name="Frame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593"/>
        <w:gridCol w:w="273"/>
        <w:gridCol w:w="274"/>
        <w:gridCol w:w="285"/>
        <w:gridCol w:w="286"/>
        <w:gridCol w:w="171"/>
        <w:gridCol w:w="109"/>
        <w:gridCol w:w="109"/>
        <w:gridCol w:w="109"/>
        <w:gridCol w:w="196"/>
        <w:gridCol w:w="391"/>
        <w:gridCol w:w="109"/>
        <w:gridCol w:w="109"/>
        <w:gridCol w:w="109"/>
        <w:gridCol w:w="109"/>
        <w:gridCol w:w="196"/>
        <w:gridCol w:w="706"/>
        <w:gridCol w:w="109"/>
        <w:gridCol w:w="109"/>
        <w:gridCol w:w="109"/>
        <w:gridCol w:w="109"/>
        <w:gridCol w:w="196"/>
        <w:gridCol w:w="572"/>
        <w:gridCol w:w="109"/>
        <w:gridCol w:w="109"/>
        <w:gridCol w:w="109"/>
        <w:gridCol w:w="109"/>
        <w:gridCol w:w="254"/>
        <w:gridCol w:w="624"/>
        <w:gridCol w:w="143"/>
        <w:gridCol w:w="109"/>
        <w:gridCol w:w="109"/>
        <w:gridCol w:w="109"/>
        <w:gridCol w:w="210"/>
        <w:gridCol w:w="196"/>
        <w:gridCol w:w="171"/>
        <w:gridCol w:w="109"/>
        <w:gridCol w:w="109"/>
        <w:gridCol w:w="109"/>
        <w:gridCol w:w="196"/>
        <w:gridCol w:w="481"/>
        <w:gridCol w:w="109"/>
        <w:gridCol w:w="109"/>
        <w:gridCol w:w="109"/>
        <w:gridCol w:w="109"/>
        <w:gridCol w:w="196"/>
        <w:gridCol w:w="708"/>
        <w:gridCol w:w="162"/>
      </w:tblGrid>
      <w:tr>
        <w:tc>
          <w:tcPr>
            <w:tcW w:w="5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p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186.2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3,032.8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2,407.7</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186.2</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3,022.1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2,426.6</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from dissolution of foreign subsidiary</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186.2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3,027.3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(28.7)</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2,488.1</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186.2</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3,030.9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2,475.7</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16610"/>
                <wp:effectExtent l="0" t="0" r="0" b="0"/>
                <wp:wrapNone/>
                <wp:docPr id="9" name="Frame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345" w:type="dxa"/>
        <w:jc w:val="left"/>
        <w:tblInd w:w="0" w:type="dxa"/>
        <w:tblLayout w:type="fixed"/>
        <w:tblCellMar>
          <w:top w:w="28" w:type="dxa"/>
          <w:left w:w="28" w:type="dxa"/>
          <w:bottom w:w="28" w:type="dxa"/>
          <w:right w:w="28" w:type="dxa"/>
        </w:tblCellMar>
      </w:tblPr>
      <w:tblGrid>
        <w:gridCol w:w="762"/>
        <w:gridCol w:w="181"/>
        <w:gridCol w:w="183"/>
        <w:gridCol w:w="285"/>
        <w:gridCol w:w="286"/>
        <w:gridCol w:w="171"/>
        <w:gridCol w:w="109"/>
        <w:gridCol w:w="109"/>
        <w:gridCol w:w="109"/>
        <w:gridCol w:w="196"/>
        <w:gridCol w:w="391"/>
        <w:gridCol w:w="109"/>
        <w:gridCol w:w="109"/>
        <w:gridCol w:w="109"/>
        <w:gridCol w:w="109"/>
        <w:gridCol w:w="196"/>
        <w:gridCol w:w="706"/>
        <w:gridCol w:w="109"/>
        <w:gridCol w:w="109"/>
        <w:gridCol w:w="109"/>
        <w:gridCol w:w="109"/>
        <w:gridCol w:w="196"/>
        <w:gridCol w:w="571"/>
        <w:gridCol w:w="109"/>
        <w:gridCol w:w="109"/>
        <w:gridCol w:w="109"/>
        <w:gridCol w:w="109"/>
        <w:gridCol w:w="254"/>
        <w:gridCol w:w="624"/>
        <w:gridCol w:w="143"/>
        <w:gridCol w:w="109"/>
        <w:gridCol w:w="109"/>
        <w:gridCol w:w="109"/>
        <w:gridCol w:w="248"/>
        <w:gridCol w:w="233"/>
        <w:gridCol w:w="171"/>
        <w:gridCol w:w="109"/>
        <w:gridCol w:w="109"/>
        <w:gridCol w:w="109"/>
        <w:gridCol w:w="196"/>
        <w:gridCol w:w="571"/>
        <w:gridCol w:w="109"/>
        <w:gridCol w:w="109"/>
        <w:gridCol w:w="109"/>
        <w:gridCol w:w="109"/>
        <w:gridCol w:w="196"/>
        <w:gridCol w:w="706"/>
        <w:gridCol w:w="154"/>
      </w:tblGrid>
      <w:tr>
        <w:tc>
          <w:tcPr>
            <w:tcW w:w="7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p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186.2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3,037.5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2,068.9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to equity method investments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adjustments recognized from the sale of Topgolf</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186.2</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2,123.9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to equity method investments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186.2</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3,036.8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(34.2)</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2,162.4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to equity method investments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September 30, 2026</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186.2</w:t>
            </w:r>
            <w:r>
              <w:rPr>
                <w:color w:val="000000"/>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3,040.9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(32.0)</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6"/>
              </w:rPr>
              <w:t>2,165.4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16610"/>
                <wp:effectExtent l="0" t="0" r="0" b="0"/>
                <wp:wrapNone/>
                <wp:docPr id="10" name="Frame1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 xml:space="preserve">Note 1. The Company and Basis of Presentation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Callaway Golf Company (together with its wholly-owned subsidiaries, referred to as “we,” “our,” “us,” “the Company,” or “Callaway” unless otherwise specified), a Delaware corporation, is a premium golf equipment, gear and apparel company that designs, manufactures and sells high-performance golf clubs, golf balls, apparel, bags, and other accessories through our family of brand names, which include Callaway Golf, Odyssey, TravisMathew, and OGIO.</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and brands are reported under two operating segments: Golf Equipment, which includes the operations of our golf clubs and golf balls business under the Callaway Golf and Odyssey brand names; and Apparel, Gear and Other (formerly, “Active Lifestyle”), which includes the operations of our soft goods business marketed under the Callaway, TravisMathew, and OGIO brand names.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We have prepared the accompanying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 xml:space="preserve">consolidated financial statements pursuant to the rules and regulations of the Securities and Exchange Commission (the “SEC”) and accounting principles generally accepted in the United States of America (“GAAP”). We have condensed or omitted certain information and disclosures that are normally included in our annual consolidated financial statements which are prepared in accordance with GAAP. In the opinion of management, these condensed consolidated financial statements include all normal and recurring adjustments necessary for the fair presentation of the financial position, results of operations and cash flows for the periods and dates presented. These unaudited condensed consolidated financial statements should be read in conjunction with the consolidated financial statements and notes thereto included in our Annual Report on Form 10-K for the year ended December 31, 2025, which was filed with the SEC on February 27, 2026. Interim operating results are not indicative of operating results that may be expected for the year ending December 31, 2026, or any other future periods.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translate the financial statements of our foreign subsidiaries using end-of-period exchange rates for assets and liabilities and average exchange rates during each reporting period for results of operations. All intercompany balances and transactions have been eliminated during consolidation.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disclosures in these condensed consolidated financial statements reflect continuing operations only. Prior period financial information related to discontinued operations has been reclassified and separately presented in the condensed consolidated financial statements and accompanying notes to conform to the current period presentation. See Note 3 for further information regarding our discontinued operations.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Fiscal Year End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annual financial results are reported on a calendar year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ind w:left="0" w:right="0" w:firstLine="450"/>
        <w:jc w:val="both"/>
      </w:pPr>
      <w:r>
        <w:rPr>
          <w:rFonts w:ascii="Times New Roman;serif" w:hAnsi="Times New Roman;serif"/>
          <w:b w:val="false"/>
          <w:color w:val="000000"/>
          <w:sz w:val="20"/>
        </w:rPr>
        <w:t>Our significant accounting policies are described in Note 2 to our audited</w:t>
      </w:r>
      <w:r>
        <w:rPr>
          <w:color w:val="000000"/>
          <w:shd w:fill="FFFFFF" w:val="clear"/>
        </w:rPr>
        <w:t xml:space="preserve"> </w:t>
      </w:r>
      <w:r>
        <w:rPr>
          <w:rFonts w:ascii="Times New Roman;serif" w:hAnsi="Times New Roman;serif"/>
          <w:b w:val="false"/>
          <w:color w:val="000000"/>
          <w:sz w:val="20"/>
        </w:rPr>
        <w:t>consolidated financial statements for the year ended December 31, 2025, which are included in our Annual Report on Form 10-K which was filed with the SEC on February 27, 2026.</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financial statements in conformity with GAAP requires management to make estimates and judgments that affect the reported amounts of assets, liabilities, revenue, expenses and related disclosures. We base our estimates on historical experience and on various other assumptions that are believed to be reasonable under the circumstances at that time. We evaluate our estimates on an ongoing basis to ensure that these estimates appropriately reflect changes in our business or as new information becomes available. Actual results may differ from our estimates.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16610"/>
                <wp:effectExtent l="0" t="0" r="0" b="0"/>
                <wp:wrapNone/>
                <wp:docPr id="11" name="Frame1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“Income Statement—Reporting Comprehensive Income—Expense Disaggregation Disclosures (Subtopic 220-40): Disaggregation of Income Statement Expenses” (“ASU 2024-03”), which requires disclosure, on an annual and interim basis, of specific information about cost and expense related items within the notes to our condensed consolidated financial statements. ASU 2024-03 is effective for fiscal years beginning after December 15, 2026, and interim periods within annual reporting periods beginning after December 15, 2027, on either a prospective or retrospective basis with early adoption permitted. We are in the process of evaluating the impact that ASU 2024-03 will have on our condensed consolidated financial statements and related disclosures.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the FASB issued ASU No. 2025-06, “Intangibles — Goodwill and Other — Internal-Use Software (Subtopic 350-40): Targeted Improvements to the Accounting for Internal-Use Software” (“ASU 2025-06”), which clarifies the difference between expensed costs and capitalized costs by removing all references to software development project stages so that the guidance is neutral to different software development methods, including methods that entities may use to develop software in the future. ASU 2025-06 is effective for fiscal years beginning after December 15, 2027, and interim periods within annual reporting periods beginning after December 15, 2027, with early adoption permitted. We are evaluating the impact of ASU 2025-06 and do not expect adoption of the standard to have a material impact on our consolidated financial statements and related disclosures.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No. 2026-02, “Environmental Credits and Environmental Credit Obligations (Topic 818)” (“ASU 2026-02”), which provides specific authoritative guidance for environmental credits and environmental credit obligations. ASU 2026-02 is effective for fiscal years beginning after December 15, 2027, and interim periods within annual reporting periods beginning after December 15, 2027, with early adoption permitted. We elected to early adopt this ASU effective for our quarter ended June 30, 2026. The adoption of this ASU did not have a material impact on our consolidated financial statements or related disclosures for the period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3. Discontinued Operations</w:t>
      </w:r>
    </w:p>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Divestiture of the Topgolf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completed the sale of a 60% equity interest in the Topgolf and Toptracer businesses (“Topgolf”) to private equity funds managed by Leonard Green &amp; Partners, L.P. based upon an equity value of approximately $1,100.0 million. In connection with the sale and related financing transactions, we received net proceeds of $820.1 million, net of working capital adjustments and cash retained. In the fourth quarter of 2025, we recorded an estimated loss on sale before income taxes of $143.1 million. During the first quarter of 2026, we recorded net working capital adjustments of $2.5 million, resulting in a total loss on sale of $140.6 million after these adjustments.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and cash flows of Topgolf are classified as discontinued operations for all periods presented and our retained ownership interest in Topgolf is accounted for under the equity method of accounting. During the second quarter of 2026, our ownership interest decreased from 40.0% to 39.3% following the sale of additional dilutive units by Topgolf, which decreased our non-controlling interest. In addition to our 39.3% equity interest, we have continuing involvement with Topgolf through ongoing commercial agreements (see Note 9) and a transition services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we recognized $1.0 million and $3.3 million, respectively, associated with amounts billed under the transition services agreement with Topgolf, which were recognized in other income (expense), net on the condensed consolidated statement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Due to the amendment of our 2023 Term Loan B, which required a mandatory prepayment of $500.0 million in connection with the completion of the sale of Topgolf, we attributed $9.7 million and $28.8 million of related interest expense to discontinued operations for the three and nine months ended September 30, 2025, respectively.</w:t>
      </w:r>
    </w:p>
    <w:p>
      <w:pPr>
        <w:pStyle w:val="TextBody"/>
        <w:bidi w:val="0"/>
        <w:spacing w:lineRule="auto" w:line="288" w:before="120" w:after="283"/>
        <w:ind w:left="0" w:right="0" w:firstLine="270"/>
        <w:jc w:val="both"/>
        <w:rPr>
          <w:rFonts w:ascii="Times New Roman;serif" w:hAnsi="Times New Roman;serif"/>
          <w:b/>
          <w:color w:val="000000"/>
          <w:sz w:val="20"/>
        </w:rPr>
      </w:pPr>
      <w:r>
        <w:rPr>
          <w:rFonts w:ascii="Times New Roman;serif" w:hAnsi="Times New Roman;serif"/>
          <w:b/>
          <w:color w:val="000000"/>
          <w:sz w:val="20"/>
        </w:rPr>
        <w:t>Divestiture of the Jack Wolfskin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31, 2025, pursuant to the Sale &amp; Purchase Agreement dated April 10, 2025, we completed the sale of 100% of the equity interests in Callaway Germany Holdco GmbH, which operated the Jack Wolfskin business, for $290.0 million, net of cash retained, and recorded a $26.2 million loss upon completion of the sale. The operating results of Jack Wolfskin are presented as discontinued operations for all periods presented.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16610"/>
                <wp:effectExtent l="0" t="0" r="0" b="0"/>
                <wp:wrapNone/>
                <wp:docPr id="12" name="Frame1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before="120" w:after="283"/>
        <w:ind w:left="0" w:right="0" w:firstLine="450"/>
        <w:jc w:val="both"/>
      </w:pPr>
      <w:r/>
    </w:p>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Results of Discontinued Operations</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The following is a summary of the results of discontinued operations on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 xml:space="preserve">consolidated statement of operations for the periods presented below (in millions). Results for the three months ended September 30, 2026 are related to the recognition of income tax impacts in connection with the sale of Topgolf. Results for the nine months ended September 30, 2026 are primarily related to the settlement of certain indemnification obligations and costs directly related to our divestitures of Topgolf and Jack Wolfskin as well as income tax impacts in connection with the sale of Topgolf. </w:t>
      </w:r>
    </w:p>
    <w:tbl>
      <w:tblPr>
        <w:tblW w:w="10205" w:type="dxa"/>
        <w:jc w:val="left"/>
        <w:tblInd w:w="0" w:type="dxa"/>
        <w:tblLayout w:type="fixed"/>
        <w:tblCellMar>
          <w:top w:w="28" w:type="dxa"/>
          <w:left w:w="28" w:type="dxa"/>
          <w:bottom w:w="28" w:type="dxa"/>
          <w:right w:w="28" w:type="dxa"/>
        </w:tblCellMar>
      </w:tblPr>
      <w:tblGrid>
        <w:gridCol w:w="1136"/>
        <w:gridCol w:w="999"/>
        <w:gridCol w:w="1003"/>
        <w:gridCol w:w="211"/>
        <w:gridCol w:w="469"/>
        <w:gridCol w:w="118"/>
        <w:gridCol w:w="118"/>
        <w:gridCol w:w="118"/>
        <w:gridCol w:w="118"/>
        <w:gridCol w:w="286"/>
        <w:gridCol w:w="595"/>
        <w:gridCol w:w="158"/>
        <w:gridCol w:w="118"/>
        <w:gridCol w:w="118"/>
        <w:gridCol w:w="118"/>
        <w:gridCol w:w="211"/>
        <w:gridCol w:w="469"/>
        <w:gridCol w:w="118"/>
        <w:gridCol w:w="109"/>
        <w:gridCol w:w="109"/>
        <w:gridCol w:w="109"/>
        <w:gridCol w:w="205"/>
        <w:gridCol w:w="488"/>
        <w:gridCol w:w="114"/>
        <w:gridCol w:w="114"/>
        <w:gridCol w:w="114"/>
        <w:gridCol w:w="114"/>
        <w:gridCol w:w="270"/>
        <w:gridCol w:w="624"/>
        <w:gridCol w:w="147"/>
        <w:gridCol w:w="114"/>
        <w:gridCol w:w="114"/>
        <w:gridCol w:w="114"/>
        <w:gridCol w:w="205"/>
        <w:gridCol w:w="488"/>
        <w:gridCol w:w="172"/>
      </w:tblGrid>
      <w:tr>
        <w:tc>
          <w:tcPr>
            <w:tcW w:w="11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 2026</w:t>
            </w:r>
          </w:p>
        </w:tc>
      </w:tr>
      <w:tr>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r>
      <w:t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22"/>
        <w:gridCol w:w="933"/>
        <w:gridCol w:w="939"/>
        <w:gridCol w:w="210"/>
        <w:gridCol w:w="448"/>
        <w:gridCol w:w="114"/>
        <w:gridCol w:w="114"/>
        <w:gridCol w:w="114"/>
        <w:gridCol w:w="114"/>
        <w:gridCol w:w="269"/>
        <w:gridCol w:w="620"/>
        <w:gridCol w:w="145"/>
        <w:gridCol w:w="114"/>
        <w:gridCol w:w="114"/>
        <w:gridCol w:w="114"/>
        <w:gridCol w:w="206"/>
        <w:gridCol w:w="542"/>
        <w:gridCol w:w="114"/>
        <w:gridCol w:w="109"/>
        <w:gridCol w:w="109"/>
        <w:gridCol w:w="109"/>
        <w:gridCol w:w="196"/>
        <w:gridCol w:w="520"/>
        <w:gridCol w:w="109"/>
        <w:gridCol w:w="109"/>
        <w:gridCol w:w="109"/>
        <w:gridCol w:w="109"/>
        <w:gridCol w:w="243"/>
        <w:gridCol w:w="657"/>
        <w:gridCol w:w="135"/>
        <w:gridCol w:w="109"/>
        <w:gridCol w:w="109"/>
        <w:gridCol w:w="109"/>
        <w:gridCol w:w="196"/>
        <w:gridCol w:w="556"/>
        <w:gridCol w:w="166"/>
      </w:tblGrid>
      <w:tr>
        <w:tc>
          <w:tcPr>
            <w:tcW w:w="12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excluding depreciation and amortization</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venue expense</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Venue pre-opening costs</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pPr>
      <w:r/>
    </w:p>
    <w:p>
      <w:pPr>
        <w:pStyle w:val="TextBody"/>
        <w:bidi w:val="0"/>
        <w:spacing w:before="120" w:after="283"/>
        <w:jc w:val="both"/>
      </w:pPr>
      <w:r/>
    </w:p>
    <w:p>
      <w:pPr>
        <w:pStyle w:val="TextBody"/>
        <w:bidi w:val="0"/>
        <w:spacing w:before="120" w:after="120"/>
        <w:ind w:left="0" w:right="0" w:firstLine="27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16610"/>
                <wp:effectExtent l="0" t="0" r="0" b="0"/>
                <wp:wrapNone/>
                <wp:docPr id="13" name="Frame1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Assets and Liabilities of Discontinued Operations</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The following table summarizes the assets and liabilities of discontinued operations on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consolidated balance sheet as of December 31, 2025 (in millions). There are no assets or liabilities of discontinued operations as of September 30, 2026, as the sales transactions of Jack Wolfskin and Topgolf were completed on May 31, 2025 and January 1, 2026, respectively.</w:t>
      </w:r>
    </w:p>
    <w:tbl>
      <w:tblPr>
        <w:tblW w:w="5356" w:type="dxa"/>
        <w:jc w:val="left"/>
        <w:tblInd w:w="0" w:type="dxa"/>
        <w:tblLayout w:type="fixed"/>
        <w:tblCellMar>
          <w:top w:w="28" w:type="dxa"/>
          <w:left w:w="28" w:type="dxa"/>
          <w:bottom w:w="28" w:type="dxa"/>
          <w:right w:w="28" w:type="dxa"/>
        </w:tblCellMar>
      </w:tblPr>
      <w:tblGrid>
        <w:gridCol w:w="1381"/>
        <w:gridCol w:w="1213"/>
        <w:gridCol w:w="1216"/>
        <w:gridCol w:w="291"/>
        <w:gridCol w:w="1027"/>
        <w:gridCol w:w="228"/>
      </w:tblGrid>
      <w:t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5356"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18"/>
              </w:rPr>
            </w:pPr>
            <w:r>
              <w:rPr>
                <w:rFonts w:ascii="Times New Roman;serif" w:hAnsi="Times New Roman;serif"/>
                <w:b/>
                <w:color w:val="000000"/>
                <w:sz w:val="18"/>
              </w:rPr>
              <w:t>As of December 31, 2025</w:t>
            </w:r>
          </w:p>
        </w:tc>
      </w:tr>
      <w:t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Topgolf</w:t>
            </w:r>
          </w:p>
        </w:tc>
      </w:tr>
      <w:t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 of discontinued operations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 of discontinued operations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assets of discontinued operations</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of discontinued operations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benefits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advances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of discontinued operations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 of discontinued operations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Deemed landlord financing obligations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 of discontinued operations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of discontinued operations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16610"/>
                <wp:effectExtent l="0" t="0" r="0" b="0"/>
                <wp:wrapNone/>
                <wp:docPr id="14" name="Frame1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Note 4. Revenue Recognition</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We recognize revenue from the sale of our products. </w:t>
      </w:r>
      <w:r>
        <w:rPr>
          <w:rFonts w:ascii="Times New Roman;serif" w:hAnsi="Times New Roman;serif"/>
          <w:b w:val="false"/>
          <w:color w:val="000000"/>
          <w:sz w:val="20"/>
          <w:shd w:fill="FFFFFF" w:val="clear"/>
        </w:rPr>
        <w:t>The following table presents our net sales disaggregated by operating and reportable segment and major product category (in millions):</w:t>
      </w:r>
    </w:p>
    <w:tbl>
      <w:tblPr>
        <w:tblW w:w="10205" w:type="dxa"/>
        <w:jc w:val="left"/>
        <w:tblInd w:w="0" w:type="dxa"/>
        <w:tblLayout w:type="fixed"/>
        <w:tblCellMar>
          <w:top w:w="28" w:type="dxa"/>
          <w:left w:w="28" w:type="dxa"/>
          <w:bottom w:w="28" w:type="dxa"/>
          <w:right w:w="28" w:type="dxa"/>
        </w:tblCellMar>
      </w:tblPr>
      <w:tblGrid>
        <w:gridCol w:w="1748"/>
        <w:gridCol w:w="1523"/>
        <w:gridCol w:w="1528"/>
        <w:gridCol w:w="240"/>
        <w:gridCol w:w="683"/>
        <w:gridCol w:w="133"/>
        <w:gridCol w:w="133"/>
        <w:gridCol w:w="133"/>
        <w:gridCol w:w="133"/>
        <w:gridCol w:w="240"/>
        <w:gridCol w:w="683"/>
        <w:gridCol w:w="133"/>
        <w:gridCol w:w="109"/>
        <w:gridCol w:w="109"/>
        <w:gridCol w:w="109"/>
        <w:gridCol w:w="212"/>
        <w:gridCol w:w="750"/>
        <w:gridCol w:w="117"/>
        <w:gridCol w:w="117"/>
        <w:gridCol w:w="117"/>
        <w:gridCol w:w="117"/>
        <w:gridCol w:w="212"/>
        <w:gridCol w:w="750"/>
        <w:gridCol w:w="176"/>
      </w:tblGrid>
      <w:tr>
        <w:tc>
          <w:tcPr>
            <w:tcW w:w="1748"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Net Sales by Operating and Reportable Segment and Major Product Category</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clubs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balls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Golf Equipment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Gear, accessories &amp; other</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Apparel, Gear and Other</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47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c>
          <w:tcPr>
            <w:tcW w:w="47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c>
          <w:tcPr>
            <w:tcW w:w="47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c>
          <w:tcPr>
            <w:tcW w:w="47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c>
          <w:tcPr>
            <w:tcW w:w="47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c>
          <w:tcPr>
            <w:tcW w:w="47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120" w:after="60"/>
        <w:ind w:left="0" w:right="0" w:firstLine="450"/>
        <w:jc w:val="both"/>
      </w:pPr>
      <w:r>
        <w:rPr>
          <w:rFonts w:ascii="Times New Roman;serif" w:hAnsi="Times New Roman;serif"/>
          <w:b w:val="false"/>
          <w:color w:val="000000"/>
          <w:sz w:val="20"/>
          <w:shd w:fill="FFFFFF" w:val="clear"/>
        </w:rPr>
        <w:t xml:space="preserve">We sell our Golf Equipment products and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 xml:space="preserve">products in the United States and internationally, with our principal international regions being Europe and Asia. </w:t>
      </w:r>
      <w:r>
        <w:rPr>
          <w:rFonts w:ascii="Times New Roman;serif" w:hAnsi="Times New Roman;serif"/>
          <w:b w:val="false"/>
          <w:color w:val="000000"/>
          <w:sz w:val="20"/>
        </w:rPr>
        <w:t>Golf Equipment product sales are generally higher than Apparel, Gear and Other sales in all regions.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sales by geographical region (in millions):</w:t>
      </w:r>
    </w:p>
    <w:tbl>
      <w:tblPr>
        <w:tblW w:w="8804" w:type="dxa"/>
        <w:jc w:val="left"/>
        <w:tblInd w:w="0" w:type="dxa"/>
        <w:tblLayout w:type="fixed"/>
        <w:tblCellMar>
          <w:top w:w="28" w:type="dxa"/>
          <w:left w:w="28" w:type="dxa"/>
          <w:bottom w:w="28" w:type="dxa"/>
          <w:right w:w="28" w:type="dxa"/>
        </w:tblCellMar>
      </w:tblPr>
      <w:tblGrid>
        <w:gridCol w:w="1145"/>
        <w:gridCol w:w="1007"/>
        <w:gridCol w:w="1013"/>
        <w:gridCol w:w="256"/>
        <w:gridCol w:w="728"/>
        <w:gridCol w:w="142"/>
        <w:gridCol w:w="142"/>
        <w:gridCol w:w="142"/>
        <w:gridCol w:w="142"/>
        <w:gridCol w:w="256"/>
        <w:gridCol w:w="728"/>
        <w:gridCol w:w="142"/>
        <w:gridCol w:w="109"/>
        <w:gridCol w:w="109"/>
        <w:gridCol w:w="109"/>
        <w:gridCol w:w="218"/>
        <w:gridCol w:w="771"/>
        <w:gridCol w:w="121"/>
        <w:gridCol w:w="121"/>
        <w:gridCol w:w="121"/>
        <w:gridCol w:w="121"/>
        <w:gridCol w:w="218"/>
        <w:gridCol w:w="771"/>
        <w:gridCol w:w="172"/>
      </w:tblGrid>
      <w:t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 by Major Geographic Region:</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Licensing and royalties</w:t>
      </w:r>
    </w:p>
    <w:p>
      <w:pPr>
        <w:pStyle w:val="TextBody"/>
        <w:bidi w:val="0"/>
        <w:spacing w:lineRule="auto" w:line="288" w:before="120" w:after="60"/>
        <w:ind w:left="0" w:right="0" w:firstLine="450"/>
        <w:jc w:val="both"/>
      </w:pPr>
      <w:r>
        <w:rPr>
          <w:rFonts w:ascii="Times New Roman;serif" w:hAnsi="Times New Roman;serif"/>
          <w:b w:val="false"/>
          <w:color w:val="000000"/>
          <w:sz w:val="20"/>
          <w:shd w:fill="FFFFFF" w:val="clear"/>
        </w:rPr>
        <w:t xml:space="preserve">We have licensing and royalty income from licensing agreements for apparel and soft good products in our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operating segment. The following table summarizes the licensing and royalty income recognized in net sales for the periods presented (in millions):</w:t>
      </w:r>
    </w:p>
    <w:tbl>
      <w:tblPr>
        <w:tblW w:w="7521" w:type="dxa"/>
        <w:jc w:val="left"/>
        <w:tblInd w:w="0" w:type="dxa"/>
        <w:tblLayout w:type="fixed"/>
        <w:tblCellMar>
          <w:top w:w="28" w:type="dxa"/>
          <w:left w:w="28" w:type="dxa"/>
          <w:bottom w:w="28" w:type="dxa"/>
          <w:right w:w="28" w:type="dxa"/>
        </w:tblCellMar>
      </w:tblPr>
      <w:tblGrid>
        <w:gridCol w:w="678"/>
        <w:gridCol w:w="596"/>
        <w:gridCol w:w="601"/>
        <w:gridCol w:w="311"/>
        <w:gridCol w:w="597"/>
        <w:gridCol w:w="173"/>
        <w:gridCol w:w="173"/>
        <w:gridCol w:w="173"/>
        <w:gridCol w:w="173"/>
        <w:gridCol w:w="311"/>
        <w:gridCol w:w="597"/>
        <w:gridCol w:w="173"/>
        <w:gridCol w:w="109"/>
        <w:gridCol w:w="109"/>
        <w:gridCol w:w="109"/>
        <w:gridCol w:w="270"/>
        <w:gridCol w:w="643"/>
        <w:gridCol w:w="150"/>
        <w:gridCol w:w="150"/>
        <w:gridCol w:w="150"/>
        <w:gridCol w:w="150"/>
        <w:gridCol w:w="270"/>
        <w:gridCol w:w="643"/>
        <w:gridCol w:w="212"/>
      </w:tblGrid>
      <w:t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Deferred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short-term deferred revenue balance consists primarily of revenue from the sale of gift cards and accrued customer loyalty points.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16610"/>
                <wp:effectExtent l="0" t="0" r="0" b="0"/>
                <wp:wrapNone/>
                <wp:docPr id="15" name="Frame1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pPr>
      <w:r>
        <w:rPr>
          <w:rFonts w:ascii="Times New Roman;serif" w:hAnsi="Times New Roman;serif"/>
          <w:b w:val="false"/>
          <w:color w:val="000000"/>
          <w:sz w:val="20"/>
        </w:rPr>
        <w:t>The following table provides a reconciliation of activity related to our</w:t>
      </w:r>
      <w:r>
        <w:rPr>
          <w:color w:val="000000"/>
          <w:shd w:fill="FFFFFF" w:val="clear"/>
        </w:rPr>
        <w:t xml:space="preserve"> </w:t>
      </w:r>
      <w:r>
        <w:rPr>
          <w:rFonts w:ascii="Times New Roman;serif" w:hAnsi="Times New Roman;serif"/>
          <w:b w:val="false"/>
          <w:color w:val="000000"/>
          <w:sz w:val="20"/>
          <w:shd w:fill="FFFFFF" w:val="clear"/>
        </w:rPr>
        <w:t xml:space="preserve">short-term deferred revenue </w:t>
      </w:r>
      <w:r>
        <w:rPr>
          <w:rFonts w:ascii="Times New Roman;serif" w:hAnsi="Times New Roman;serif"/>
          <w:b w:val="false"/>
          <w:color w:val="000000"/>
          <w:sz w:val="20"/>
        </w:rPr>
        <w:t>balance for the periods presented (in millions):</w:t>
      </w:r>
    </w:p>
    <w:tbl>
      <w:tblPr>
        <w:tblW w:w="10205" w:type="dxa"/>
        <w:jc w:val="left"/>
        <w:tblInd w:w="0" w:type="dxa"/>
        <w:tblLayout w:type="fixed"/>
        <w:tblCellMar>
          <w:top w:w="28" w:type="dxa"/>
          <w:left w:w="28" w:type="dxa"/>
          <w:bottom w:w="28" w:type="dxa"/>
          <w:right w:w="28" w:type="dxa"/>
        </w:tblCellMar>
      </w:tblPr>
      <w:tblGrid>
        <w:gridCol w:w="1063"/>
        <w:gridCol w:w="915"/>
        <w:gridCol w:w="922"/>
        <w:gridCol w:w="357"/>
        <w:gridCol w:w="851"/>
        <w:gridCol w:w="198"/>
        <w:gridCol w:w="198"/>
        <w:gridCol w:w="198"/>
        <w:gridCol w:w="198"/>
        <w:gridCol w:w="357"/>
        <w:gridCol w:w="851"/>
        <w:gridCol w:w="198"/>
        <w:gridCol w:w="161"/>
        <w:gridCol w:w="161"/>
        <w:gridCol w:w="161"/>
        <w:gridCol w:w="349"/>
        <w:gridCol w:w="830"/>
        <w:gridCol w:w="193"/>
        <w:gridCol w:w="193"/>
        <w:gridCol w:w="193"/>
        <w:gridCol w:w="193"/>
        <w:gridCol w:w="349"/>
        <w:gridCol w:w="830"/>
        <w:gridCol w:w="286"/>
      </w:tblGrid>
      <w:tr>
        <w:tc>
          <w:tcPr>
            <w:tcW w:w="106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c>
          <w:tcPr>
            <w:tcW w:w="2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Beginning Balance </w:t>
            </w:r>
            <w:r>
              <w:rPr>
                <w:rFonts w:ascii="Times New Roman;serif" w:hAnsi="Times New Roman;serif"/>
                <w:b w:val="false"/>
                <w:color w:val="000000"/>
                <w:sz w:val="12"/>
              </w:rPr>
              <w:t>(1)</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Deferral of revenue</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Foreign currency translation and other</w:t>
            </w:r>
            <w:r>
              <w:rPr>
                <w:color w:val="000000"/>
              </w:rPr>
              <w:t xml:space="preserve"> </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40"/>
              <w:ind w:left="0" w:right="0" w:hanging="18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Beginning balances for the three months ended September 30, 2026 and 2025 represent ending balances as of June 30, 2026 and 2025, respectively. Beginning balances for the nine months ended September 30, 2026 and 2025 represent ending balances as of December 31, 2025 and 2024, respectively.</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 recognized during both the three months ended September 30, 2026 and 2025 from gift card redemptions that were included in the deferred revenue balance at the end of the prior year period was $0.4 million. Deferred revenue recognized during the nine months ended September 30, 2026 and 2025 from gift card redemptions that were included in the deferred revenue balance at the end of the prior year period was $2.4 million and $2.8 million, respectively. The increase in revenue recognized during the three and nine months ended September 30, 2026, includes the impact of the transition to a new customer loyalty program related to our TravisMathew business. We have recognized $1.5 million and $9.5 million, respectively, of deferred revenue related to expired loyalty points during the three and nine months ended September 30, 2026.</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Variable Consideration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revenue based on the amount of consideration we expect to receive from customers for the sale of our products adjusted for estimates of variable consideration related to sales returns, discounts and allowances, sales promotions and sales programs, and price concessions. These estimates are based on the amounts earned or expected to be claimed by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balances for our short-term sales incentive program included in accounts receivable, net on our condensed consolidated balance sheets, were $35.9 million and $15.0 million, respectively.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the balances for our sales return reserve included in accounts receivable, net on our condensed consolidated balance sheets, were $100.4 million and $64.2 million, respectively. For these periods, the related cost recovery balances of inventory associated with the sales return liability included in other current assets on our condensed consolidated balance sheets, were $42.3 million and $30.4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16610"/>
                <wp:effectExtent l="0" t="0" r="0" b="0"/>
                <wp:wrapNone/>
                <wp:docPr id="16" name="Frame1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280" w:after="283"/>
        <w:jc w:val="both"/>
      </w:pPr>
      <w:r>
        <w:rPr>
          <w:rFonts w:ascii="Times New Roman;serif" w:hAnsi="Times New Roman;serif"/>
          <w:b/>
          <w:color w:val="000000"/>
          <w:sz w:val="20"/>
          <w:shd w:fill="FFFFFF" w:val="clear"/>
        </w:rPr>
        <w:t>Note 5. Leases</w:t>
      </w:r>
      <w:r>
        <w:rPr>
          <w:color w:val="000000"/>
          <w:shd w:fill="FFFFFF" w:val="clear"/>
        </w:rPr>
        <w:t xml:space="preserve"> </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Operating leases and financing leases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our operating and financing right of use (“ROU”) assets and lease liabilities is as follows (in millions):</w:t>
      </w:r>
    </w:p>
    <w:tbl>
      <w:tblPr>
        <w:tblW w:w="9157" w:type="dxa"/>
        <w:jc w:val="center"/>
        <w:tblInd w:w="0" w:type="dxa"/>
        <w:tblLayout w:type="fixed"/>
        <w:tblCellMar>
          <w:top w:w="28" w:type="dxa"/>
          <w:left w:w="28" w:type="dxa"/>
          <w:bottom w:w="28" w:type="dxa"/>
          <w:right w:w="28" w:type="dxa"/>
        </w:tblCellMar>
      </w:tblPr>
      <w:tblGrid>
        <w:gridCol w:w="982"/>
        <w:gridCol w:w="861"/>
        <w:gridCol w:w="871"/>
        <w:gridCol w:w="899"/>
        <w:gridCol w:w="899"/>
        <w:gridCol w:w="902"/>
        <w:gridCol w:w="109"/>
        <w:gridCol w:w="109"/>
        <w:gridCol w:w="109"/>
        <w:gridCol w:w="351"/>
        <w:gridCol w:w="997"/>
        <w:gridCol w:w="197"/>
        <w:gridCol w:w="109"/>
        <w:gridCol w:w="109"/>
        <w:gridCol w:w="109"/>
        <w:gridCol w:w="334"/>
        <w:gridCol w:w="948"/>
        <w:gridCol w:w="262"/>
      </w:tblGrid>
      <w:tr>
        <w:tc>
          <w:tcPr>
            <w:tcW w:w="98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ROU assets, net</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ROU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ROU assets, net</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 short-term</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 long-term</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Lease Termination Incentive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signed an agreement with the landlord of our Japanese subsidiary’s headquarters to terminate a lease prior to its original end date in exchange for a cash incentive of 1,800.0 million Yen (approximately $12.0 million). As a result, we recognized a $12.0 million gain on lease termination, which was recorded within selling, general and administrative expenses in our condensed consolidated statement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excluding the impact from the lease termination incentive, included in our condensed consolidated statement of operations for the periods presented below are as follows (in millions):</w:t>
      </w:r>
    </w:p>
    <w:tbl>
      <w:tblPr>
        <w:tblW w:w="7790" w:type="dxa"/>
        <w:jc w:val="left"/>
        <w:tblInd w:w="0" w:type="dxa"/>
        <w:tblLayout w:type="fixed"/>
        <w:tblCellMar>
          <w:top w:w="28" w:type="dxa"/>
          <w:left w:w="28" w:type="dxa"/>
          <w:bottom w:w="28" w:type="dxa"/>
          <w:right w:w="28" w:type="dxa"/>
        </w:tblCellMar>
      </w:tblPr>
      <w:tblGrid>
        <w:gridCol w:w="776"/>
        <w:gridCol w:w="683"/>
        <w:gridCol w:w="686"/>
        <w:gridCol w:w="295"/>
        <w:gridCol w:w="703"/>
        <w:gridCol w:w="164"/>
        <w:gridCol w:w="164"/>
        <w:gridCol w:w="164"/>
        <w:gridCol w:w="164"/>
        <w:gridCol w:w="295"/>
        <w:gridCol w:w="567"/>
        <w:gridCol w:w="164"/>
        <w:gridCol w:w="109"/>
        <w:gridCol w:w="109"/>
        <w:gridCol w:w="109"/>
        <w:gridCol w:w="270"/>
        <w:gridCol w:w="643"/>
        <w:gridCol w:w="150"/>
        <w:gridCol w:w="150"/>
        <w:gridCol w:w="150"/>
        <w:gridCol w:w="150"/>
        <w:gridCol w:w="270"/>
        <w:gridCol w:w="643"/>
        <w:gridCol w:w="212"/>
      </w:tblGrid>
      <w:t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14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145" w:type="dxa"/>
            <w:gridSpan w:val="3"/>
            <w:vMerge w:val="continue"/>
            <w:tcBorders/>
            <w:tcMar>
              <w:top w:w="0" w:type="dxa"/>
              <w:left w:w="0" w:type="dxa"/>
              <w:bottom w:w="0" w:type="dxa"/>
              <w:right w:w="0" w:type="dxa"/>
            </w:tcMar>
            <w:vAlign w:val="center"/>
          </w:tcPr>
          <w:p>
            <w:pPr>
              <w:pStyle w:val="Normal"/>
              <w:bidi w:val="0"/>
              <w:jc w:val="left"/>
            </w:p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costs: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ROU assets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financing lease costs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14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Other supplemental information related to leases (in millions): </w:t>
      </w:r>
    </w:p>
    <w:tbl>
      <w:tblPr>
        <w:tblW w:w="8049" w:type="dxa"/>
        <w:jc w:val="center"/>
        <w:tblInd w:w="0" w:type="dxa"/>
        <w:tblLayout w:type="fixed"/>
        <w:tblCellMar>
          <w:top w:w="28" w:type="dxa"/>
          <w:left w:w="28" w:type="dxa"/>
          <w:bottom w:w="28" w:type="dxa"/>
          <w:right w:w="28" w:type="dxa"/>
        </w:tblCellMar>
      </w:tblPr>
      <w:tblGrid>
        <w:gridCol w:w="1842"/>
        <w:gridCol w:w="1619"/>
        <w:gridCol w:w="1623"/>
        <w:gridCol w:w="109"/>
        <w:gridCol w:w="109"/>
        <w:gridCol w:w="109"/>
        <w:gridCol w:w="270"/>
        <w:gridCol w:w="643"/>
        <w:gridCol w:w="150"/>
        <w:gridCol w:w="150"/>
        <w:gridCol w:w="150"/>
        <w:gridCol w:w="150"/>
        <w:gridCol w:w="270"/>
        <w:gridCol w:w="643"/>
        <w:gridCol w:w="212"/>
      </w:tblGrid>
      <w:tr>
        <w:tc>
          <w:tcPr>
            <w:tcW w:w="184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Flows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arising from new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16610"/>
                <wp:effectExtent l="0" t="0" r="0" b="0"/>
                <wp:wrapNone/>
                <wp:docPr id="17" name="Frame1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tbl>
      <w:tblPr>
        <w:tblW w:w="6896" w:type="dxa"/>
        <w:jc w:val="left"/>
        <w:tblInd w:w="0" w:type="dxa"/>
        <w:tblLayout w:type="fixed"/>
        <w:tblCellMar>
          <w:top w:w="28" w:type="dxa"/>
          <w:left w:w="28" w:type="dxa"/>
          <w:bottom w:w="28" w:type="dxa"/>
          <w:right w:w="28" w:type="dxa"/>
        </w:tblCellMar>
      </w:tblPr>
      <w:tblGrid>
        <w:gridCol w:w="1261"/>
        <w:gridCol w:w="1107"/>
        <w:gridCol w:w="1112"/>
        <w:gridCol w:w="354"/>
        <w:gridCol w:w="354"/>
        <w:gridCol w:w="836"/>
        <w:gridCol w:w="109"/>
        <w:gridCol w:w="109"/>
        <w:gridCol w:w="109"/>
        <w:gridCol w:w="323"/>
        <w:gridCol w:w="323"/>
        <w:gridCol w:w="899"/>
      </w:tblGrid>
      <w:t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September 30, 2026, our future minimum lease obligations were as follows (in millions):</w:t>
      </w:r>
    </w:p>
    <w:tbl>
      <w:tblPr>
        <w:tblW w:w="6313" w:type="dxa"/>
        <w:jc w:val="center"/>
        <w:tblInd w:w="0" w:type="dxa"/>
        <w:tblLayout w:type="fixed"/>
        <w:tblCellMar>
          <w:top w:w="28" w:type="dxa"/>
          <w:left w:w="28" w:type="dxa"/>
          <w:bottom w:w="28" w:type="dxa"/>
          <w:right w:w="28" w:type="dxa"/>
        </w:tblCellMar>
      </w:tblPr>
      <w:tblGrid>
        <w:gridCol w:w="745"/>
        <w:gridCol w:w="653"/>
        <w:gridCol w:w="656"/>
        <w:gridCol w:w="310"/>
        <w:gridCol w:w="882"/>
        <w:gridCol w:w="172"/>
        <w:gridCol w:w="109"/>
        <w:gridCol w:w="109"/>
        <w:gridCol w:w="109"/>
        <w:gridCol w:w="338"/>
        <w:gridCol w:w="807"/>
        <w:gridCol w:w="190"/>
        <w:gridCol w:w="109"/>
        <w:gridCol w:w="109"/>
        <w:gridCol w:w="109"/>
        <w:gridCol w:w="196"/>
        <w:gridCol w:w="556"/>
        <w:gridCol w:w="154"/>
      </w:tblGrid>
      <w:t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16610"/>
                <wp:effectExtent l="0" t="0" r="0" b="0"/>
                <wp:wrapNone/>
                <wp:docPr id="18" name="Frame1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30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Financing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credit facilities and long-term debt obligations are summarized as follows (in millions, except interest rates):</w:t>
      </w:r>
    </w:p>
    <w:tbl>
      <w:tblPr>
        <w:tblW w:w="10205" w:type="dxa"/>
        <w:jc w:val="left"/>
        <w:tblInd w:w="0" w:type="dxa"/>
        <w:tblLayout w:type="fixed"/>
        <w:tblCellMar>
          <w:top w:w="28" w:type="dxa"/>
          <w:left w:w="28" w:type="dxa"/>
          <w:bottom w:w="28" w:type="dxa"/>
          <w:right w:w="28" w:type="dxa"/>
        </w:tblCellMar>
      </w:tblPr>
      <w:tblGrid>
        <w:gridCol w:w="1111"/>
        <w:gridCol w:w="958"/>
        <w:gridCol w:w="961"/>
        <w:gridCol w:w="109"/>
        <w:gridCol w:w="109"/>
        <w:gridCol w:w="109"/>
        <w:gridCol w:w="894"/>
        <w:gridCol w:w="848"/>
        <w:gridCol w:w="852"/>
        <w:gridCol w:w="109"/>
        <w:gridCol w:w="109"/>
        <w:gridCol w:w="109"/>
        <w:gridCol w:w="356"/>
        <w:gridCol w:w="356"/>
        <w:gridCol w:w="358"/>
        <w:gridCol w:w="109"/>
        <w:gridCol w:w="109"/>
        <w:gridCol w:w="109"/>
        <w:gridCol w:w="274"/>
        <w:gridCol w:w="653"/>
        <w:gridCol w:w="153"/>
        <w:gridCol w:w="109"/>
        <w:gridCol w:w="109"/>
        <w:gridCol w:w="109"/>
        <w:gridCol w:w="210"/>
        <w:gridCol w:w="743"/>
        <w:gridCol w:w="170"/>
      </w:tblGrid>
      <w:tr>
        <w:tc>
          <w:tcPr>
            <w:tcW w:w="111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2023 ABL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16,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ABL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Asset-based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9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and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2026 - December 21,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2.36% - 5.93%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Financed Tenant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Long-term debt,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5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7175" w:type="dxa"/>
            <w:gridSpan w:val="24"/>
            <w:tcBorders/>
          </w:tcPr>
          <w:p>
            <w:pPr>
              <w:pStyle w:val="TableContents"/>
              <w:bidi w:val="0"/>
              <w:spacing w:before="0" w:after="283"/>
              <w:jc w:val="left"/>
              <w:rPr>
                <w:sz w:val="4"/>
                <w:szCs w:val="4"/>
              </w:rPr>
            </w:pPr>
            <w:r>
              <w:rPr>
                <w:sz w:val="4"/>
                <w:szCs w:val="4"/>
              </w:rPr>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7175" w:type="dxa"/>
            <w:gridSpan w:val="24"/>
            <w:tcBorders/>
          </w:tcPr>
          <w:p>
            <w:pPr>
              <w:pStyle w:val="TableContents"/>
              <w:bidi w:val="0"/>
              <w:spacing w:before="0" w:after="283"/>
              <w:jc w:val="left"/>
              <w:rPr>
                <w:sz w:val="4"/>
                <w:szCs w:val="4"/>
              </w:rPr>
            </w:pPr>
            <w:r>
              <w:rPr>
                <w:sz w:val="4"/>
                <w:szCs w:val="4"/>
              </w:rPr>
            </w:r>
          </w:p>
        </w:tc>
      </w:tr>
      <w:tr>
        <w:tc>
          <w:tcPr>
            <w:tcW w:w="3030" w:type="dxa"/>
            <w:gridSpan w:val="3"/>
            <w:tcBorders/>
            <w:vAlign w:val="center"/>
          </w:tcPr>
          <w:p>
            <w:pPr>
              <w:pStyle w:val="TableContents"/>
              <w:bidi w:val="0"/>
              <w:spacing w:before="0" w:after="283"/>
              <w:jc w:val="left"/>
              <w:rPr>
                <w:sz w:val="4"/>
                <w:szCs w:val="4"/>
              </w:rPr>
            </w:pPr>
            <w:r>
              <w:rPr>
                <w:sz w:val="4"/>
                <w:szCs w:val="4"/>
              </w:rPr>
            </w:r>
          </w:p>
        </w:tc>
        <w:tc>
          <w:tcPr>
            <w:tcW w:w="7175"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 related to our credit facilities and long-term debt obligations, which were recognized in interest income (expense), net on the condensed consolidated statement of operations, is summarized as follows (in millions):</w:t>
      </w:r>
    </w:p>
    <w:tbl>
      <w:tblPr>
        <w:tblW w:w="8656" w:type="dxa"/>
        <w:jc w:val="left"/>
        <w:tblInd w:w="0" w:type="dxa"/>
        <w:tblLayout w:type="fixed"/>
        <w:tblCellMar>
          <w:top w:w="28" w:type="dxa"/>
          <w:left w:w="28" w:type="dxa"/>
          <w:bottom w:w="28" w:type="dxa"/>
          <w:right w:w="28" w:type="dxa"/>
        </w:tblCellMar>
      </w:tblPr>
      <w:tblGrid>
        <w:gridCol w:w="1091"/>
        <w:gridCol w:w="961"/>
        <w:gridCol w:w="963"/>
        <w:gridCol w:w="291"/>
        <w:gridCol w:w="602"/>
        <w:gridCol w:w="161"/>
        <w:gridCol w:w="161"/>
        <w:gridCol w:w="161"/>
        <w:gridCol w:w="161"/>
        <w:gridCol w:w="291"/>
        <w:gridCol w:w="691"/>
        <w:gridCol w:w="161"/>
        <w:gridCol w:w="109"/>
        <w:gridCol w:w="109"/>
        <w:gridCol w:w="109"/>
        <w:gridCol w:w="283"/>
        <w:gridCol w:w="544"/>
        <w:gridCol w:w="157"/>
        <w:gridCol w:w="157"/>
        <w:gridCol w:w="157"/>
        <w:gridCol w:w="157"/>
        <w:gridCol w:w="283"/>
        <w:gridCol w:w="674"/>
        <w:gridCol w:w="222"/>
      </w:tblGrid>
      <w:t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Credit Facilities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ABL Credit Facility</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and Credit Facilities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Financed Tenant Improvements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015" w:type="dxa"/>
            <w:gridSpan w:val="3"/>
            <w:tcBorders/>
            <w:vAlign w:val="center"/>
          </w:tcPr>
          <w:p>
            <w:pPr>
              <w:pStyle w:val="TableContents"/>
              <w:bidi w:val="0"/>
              <w:spacing w:before="0" w:after="283"/>
              <w:jc w:val="left"/>
              <w:rPr>
                <w:sz w:val="4"/>
                <w:szCs w:val="4"/>
              </w:rPr>
            </w:pPr>
            <w:r>
              <w:rPr>
                <w:sz w:val="4"/>
                <w:szCs w:val="4"/>
              </w:rPr>
            </w:r>
          </w:p>
        </w:tc>
        <w:tc>
          <w:tcPr>
            <w:tcW w:w="5641"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Short-Term Credit Facilities and Available Liquidity</w:t>
      </w:r>
    </w:p>
    <w:p>
      <w:pPr>
        <w:pStyle w:val="TextBody"/>
        <w:bidi w:val="0"/>
        <w:spacing w:lineRule="auto" w:line="288" w:before="12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2025 Japan ABL Credit Facility &amp; 2023 ABL Credit Facility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2025 Japan ABL Credit Facility provides a line of credit to our Japan subsidiary of up to 9,000.0 million Yen (or approximately $57.2 million using the exchange rate in effect as of September 30, 2026), and our 2023 ABL Credit Facility has an aggregate principal amount of up to $485.0 million. Both facilities are subject to certain restrictions and covenants related to pledged collateral and financial performance, and, among other things, include provisions that limit certain financing and operational activities and require ongoing compliance with specified performance</w:t>
        <w:noBreakHyphen/>
        <w:t>based or availability</w:t>
        <w:noBreakHyphen/>
        <w:t>related conditions, as applicable under the respective agreements. In addition, the 2023 ABL Credit Facility requires compliance with a minimum fixed charge coverage ratio of 1.0 to 1.0 during periods in which the borrowing base availability falls below 10% of the maximum aggregate principal amount of the facility.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were in compliance with the covenants and other requirements applicable under the 2025 Japan ABL Credit Facility and the 2023 ABL Credit Facility.</w:t>
      </w:r>
    </w:p>
    <w:p>
      <w:pPr>
        <w:pStyle w:val="TextBody"/>
        <w:bidi w:val="0"/>
        <w:spacing w:lineRule="auto" w:line="288" w:before="12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Consolidated Available Liquidity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September 30, 2026, our consolidated available liquidity, which is comprised of cash on hand and amounts available under our short-term credit facilities, less outstanding letters of credit and outstanding borrowings, was $815.1 million. Our average availability and weighted-average interest rate under our 2023 ABL Credit Facility and 2025 Japan ABL Credit Facility were as follows for the periods presented (in millions except interest rates):</w:t>
      </w:r>
    </w:p>
    <w:tbl>
      <w:tblPr>
        <w:tblW w:w="4154" w:type="dxa"/>
        <w:jc w:val="left"/>
        <w:tblInd w:w="0" w:type="dxa"/>
        <w:tblLayout w:type="fixed"/>
        <w:tblCellMar>
          <w:top w:w="28" w:type="dxa"/>
          <w:left w:w="28" w:type="dxa"/>
          <w:bottom w:w="28" w:type="dxa"/>
          <w:right w:w="28" w:type="dxa"/>
        </w:tblCellMar>
      </w:tblPr>
      <w:tblGrid>
        <w:gridCol w:w="929"/>
        <w:gridCol w:w="816"/>
        <w:gridCol w:w="819"/>
        <w:gridCol w:w="296"/>
        <w:gridCol w:w="840"/>
        <w:gridCol w:w="454"/>
      </w:tblGrid>
      <w:t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 ABL Credit Facility</w:t>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availability</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rate</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Japan ABL Credit Facility</w:t>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availability</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rate</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270"/>
        <w:jc w:val="both"/>
        <w:rPr>
          <w:rFonts w:ascii="Times New Roman;serif" w:hAnsi="Times New Roman;serif"/>
          <w:b/>
          <w:color w:val="000000"/>
          <w:sz w:val="20"/>
        </w:rPr>
      </w:pPr>
      <w:r>
        <w:rPr>
          <w:rFonts w:ascii="Times New Roman;serif" w:hAnsi="Times New Roman;serif"/>
          <w:b/>
          <w:color w:val="000000"/>
          <w:sz w:val="20"/>
        </w:rPr>
        <w:t>Long-Term Debt and Credit Facilities</w:t>
      </w:r>
    </w:p>
    <w:p>
      <w:pPr>
        <w:pStyle w:val="TextBody"/>
        <w:bidi w:val="0"/>
        <w:spacing w:lineRule="auto" w:line="288" w:before="12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2023 Term Loan B</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 2025, in connection with the sale of the Topgolf business, our 2023 Term Loan B was amended to designate certain Topgolf entities as unrestricted subsidiaries and release them as guarantors, amend certain definitions and covenant provisions, and require a $500.0 million mandatory partial repayment upon consummation of the sale. </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January 2, 2026, in connection with the completion of the sale of Topgolf, we repaid $1,000.0 million under the 2023 Term Loan B comprised of a $500.0 million mandatory repayment and an additional discretionary repayment of $500.0 million. In conjunction with the repayment, we recognized a $15.0 million loss from the partial debt extinguishment to write off the proportionate amount of unamortized debt issuance costs and debt discounts. Of this amount, $7.5 million was allocated to continuing operations and was recognized in other income (expense), net on the condensed consolidated statement of operations during the three months ended March 31, 2026. The remaining $7.5 million was allocated to discontinued operations and represents the portion of the write</w:t>
        <w:noBreakHyphen/>
        <w:t xml:space="preserve">off related to the mandatory prepayment of the loan required upon completion of the Topgolf sale. </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May 29, 2026, we repaid the remaining $162.5 million principal balance outstanding under the 2023 Term Loan B. In connection with the repayment, we recognized a $2.3 million loss from debt extinguishment to write off the remaining unamortized debt issuance costs and debt discounts, which were recognized in other income (expense), net on the condensed consolidated statement of operations during the three months ended June 30, 2026.</w:t>
      </w:r>
    </w:p>
    <w:p>
      <w:pPr>
        <w:pStyle w:val="TextBody"/>
        <w:bidi w:val="0"/>
        <w:spacing w:lineRule="auto" w:line="288" w:before="120" w:after="283"/>
        <w:ind w:left="0" w:right="0" w:firstLine="45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Convertible Notes &amp; Capped Call</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had Convertible Notes outstanding that were convertible into shares of our common stock at an initial conversion rate of 56.8 shares per $1,000 principal amount (equivalent to a conversion price of $17.62 per share) and bore interest payable semi-annually on May 1 and November 1. The Convertible Notes could be settled in cash, shares, or a combination thereof at our election and became convertible at the holders’ option upon the occurrence of certain contingent conversion events beginning February 1, 2026. In connection with the Convertible Notes, we entered into capped call transactions covering the shares initially underlying the Convertible Notes, which were intended to reduce potential dilution and/or offset cash payments upon conversion. The capped calls had an exercise price of $17.62 per share and a cap price of $23.71 per share, were subject to customary adjustments, and were recorded as a reduction to additional paid-in capital.</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May 1, 2026, we settled our outstanding Convertible Notes at maturity in accordance with their terms, including the payment of accrued and unpaid interest. The settlement was completed entirely in cash, and no shares of common stock were issued. In connection with the settlement, the related capped call transactions expired unexercised.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Equipment Notes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have long-term financing agreements (the “Equipment Notes”) with various lenders related to various capital investments in certain facilities and information technology equipment. The loans are secured by the related underlying equipment.</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Financed Tenant Improvements </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have a long-term financing agreement (the “Financed Tenant Improvements”) with our landlord related to leasehold improvements at one of our leased properties. The financing agreement is secured in accordance with the respective terms of the lease agreement. On September 11, 2026, we repaid the remaining $0.7 million principal balance outstanding under one of the two existing agreements.</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Aggregate Amount of Long-Term Debt Maturities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combined aggregate amount of maturities for our long-term debt and credit facilities over the next five years and thereafter as of September 30, 2026 (in millions):</w:t>
      </w:r>
    </w:p>
    <w:tbl>
      <w:tblPr>
        <w:tblW w:w="3753" w:type="dxa"/>
        <w:jc w:val="left"/>
        <w:tblInd w:w="0" w:type="dxa"/>
        <w:tblLayout w:type="fixed"/>
        <w:tblCellMar>
          <w:top w:w="28" w:type="dxa"/>
          <w:left w:w="28" w:type="dxa"/>
          <w:bottom w:w="28" w:type="dxa"/>
          <w:right w:w="28" w:type="dxa"/>
        </w:tblCellMar>
      </w:tblPr>
      <w:tblGrid>
        <w:gridCol w:w="979"/>
        <w:gridCol w:w="859"/>
        <w:gridCol w:w="862"/>
        <w:gridCol w:w="109"/>
        <w:gridCol w:w="109"/>
        <w:gridCol w:w="109"/>
        <w:gridCol w:w="196"/>
        <w:gridCol w:w="376"/>
        <w:gridCol w:w="154"/>
      </w:tblGrid>
      <w:t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aggregate amount of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16610"/>
                <wp:effectExtent l="0" t="0" r="0" b="0"/>
                <wp:wrapNone/>
                <wp:docPr id="19" name="Frame1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2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Earnings (Loss) Per Common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earnings per common share for the periods presented (in millions, except per share data):</w:t>
      </w:r>
    </w:p>
    <w:tbl>
      <w:tblPr>
        <w:tblW w:w="10205" w:type="dxa"/>
        <w:jc w:val="left"/>
        <w:tblInd w:w="0" w:type="dxa"/>
        <w:tblLayout w:type="fixed"/>
        <w:tblCellMar>
          <w:top w:w="28" w:type="dxa"/>
          <w:left w:w="28" w:type="dxa"/>
          <w:bottom w:w="28" w:type="dxa"/>
          <w:right w:w="28" w:type="dxa"/>
        </w:tblCellMar>
      </w:tblPr>
      <w:tblGrid>
        <w:gridCol w:w="1748"/>
        <w:gridCol w:w="1478"/>
        <w:gridCol w:w="1484"/>
        <w:gridCol w:w="252"/>
        <w:gridCol w:w="691"/>
        <w:gridCol w:w="140"/>
        <w:gridCol w:w="140"/>
        <w:gridCol w:w="140"/>
        <w:gridCol w:w="140"/>
        <w:gridCol w:w="252"/>
        <w:gridCol w:w="691"/>
        <w:gridCol w:w="140"/>
        <w:gridCol w:w="109"/>
        <w:gridCol w:w="109"/>
        <w:gridCol w:w="109"/>
        <w:gridCol w:w="241"/>
        <w:gridCol w:w="684"/>
        <w:gridCol w:w="133"/>
        <w:gridCol w:w="133"/>
        <w:gridCol w:w="133"/>
        <w:gridCol w:w="133"/>
        <w:gridCol w:w="241"/>
        <w:gridCol w:w="684"/>
        <w:gridCol w:w="200"/>
      </w:tblGrid>
      <w:tr>
        <w:tc>
          <w:tcPr>
            <w:tcW w:w="174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share—basic</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common share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share—diluted</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Interest expense attributable to Convertible Notes, net of tax</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and assumed conversions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earnings per common share</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outstanding—basic</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Incremental shares for assumed conversion of Convertible Notes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options, restricted stock units and performance share units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Weighted-average common shares outstanding—diluted</w:t>
            </w:r>
            <w:r>
              <w:rPr>
                <w:rFonts w:ascii="Times New Roman;serif" w:hAnsi="Times New Roman;serif"/>
                <w:b w:val="false"/>
                <w:color w:val="000000"/>
                <w:sz w:val="12"/>
              </w:rPr>
              <w:t>(1)</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(loss) per common share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4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Components of diluted weighted-average common shares outstanding may not be additive due to rounding.</w:t>
            </w:r>
          </w:p>
        </w:tc>
      </w:tr>
    </w:tbl>
    <w:p>
      <w:pPr>
        <w:pStyle w:val="TextBody"/>
        <w:bidi w:val="0"/>
        <w:spacing w:lineRule="auto" w:line="288" w:before="12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Anti-Dilutive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both of the three and nine months ended September 30, 2026, approximately 0.3 million securities outstanding, comprised of stock options, were excluded from the calculation of diluted earnings per common share as they would be anti-dilutive.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approximately 16.3 million securities outstanding, comprised of shares that were subject to conversion from the Convertible Notes, stock options and restricted stock units, were excluded from the calculation of diluted earnings per common share as they would be anti-dilutive. For the nine months ended September 30, 2025, approximately 2.5 million securities outstanding, comprised of stock options and restricted stock units, were excluded from the calculation of diluted earnings per common share as they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16610"/>
                <wp:effectExtent l="0" t="0" r="0" b="0"/>
                <wp:wrapNone/>
                <wp:docPr id="20" name="Frame2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300" w:after="120"/>
        <w:jc w:val="both"/>
      </w:pPr>
      <w:r>
        <w:rPr>
          <w:rFonts w:ascii="Times New Roman;serif" w:hAnsi="Times New Roman;serif"/>
          <w:b/>
          <w:color w:val="000000"/>
          <w:sz w:val="20"/>
        </w:rPr>
        <w:t>Note 8</w:t>
      </w:r>
      <w:r>
        <w:rPr>
          <w:rFonts w:ascii="Times New Roman;serif" w:hAnsi="Times New Roman;serif"/>
          <w:b/>
          <w:color w:val="000000"/>
          <w:sz w:val="20"/>
          <w:shd w:fill="FFFFFF" w:val="clear"/>
        </w:rPr>
        <w:t>. Goodwill and Intangible Assets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by operating and reportable segment are as follows (in millions):</w:t>
      </w:r>
    </w:p>
    <w:tbl>
      <w:tblPr>
        <w:tblW w:w="8096" w:type="dxa"/>
        <w:jc w:val="left"/>
        <w:tblInd w:w="0" w:type="dxa"/>
        <w:tblLayout w:type="fixed"/>
        <w:tblCellMar>
          <w:top w:w="28" w:type="dxa"/>
          <w:left w:w="28" w:type="dxa"/>
          <w:bottom w:w="28" w:type="dxa"/>
          <w:right w:w="28" w:type="dxa"/>
        </w:tblCellMar>
      </w:tblPr>
      <w:tblGrid>
        <w:gridCol w:w="1019"/>
        <w:gridCol w:w="898"/>
        <w:gridCol w:w="902"/>
        <w:gridCol w:w="109"/>
        <w:gridCol w:w="109"/>
        <w:gridCol w:w="109"/>
        <w:gridCol w:w="307"/>
        <w:gridCol w:w="872"/>
        <w:gridCol w:w="171"/>
        <w:gridCol w:w="109"/>
        <w:gridCol w:w="109"/>
        <w:gridCol w:w="109"/>
        <w:gridCol w:w="517"/>
        <w:gridCol w:w="1233"/>
        <w:gridCol w:w="290"/>
        <w:gridCol w:w="109"/>
        <w:gridCol w:w="109"/>
        <w:gridCol w:w="109"/>
        <w:gridCol w:w="196"/>
        <w:gridCol w:w="556"/>
        <w:gridCol w:w="154"/>
      </w:tblGrid>
      <w:t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Golf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Apparel, Gear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assets by major asset class are as follows (in millions, except useful life amounts):</w:t>
      </w:r>
    </w:p>
    <w:tbl>
      <w:tblPr>
        <w:tblW w:w="10205" w:type="dxa"/>
        <w:jc w:val="left"/>
        <w:tblInd w:w="0" w:type="dxa"/>
        <w:tblLayout w:type="fixed"/>
        <w:tblCellMar>
          <w:top w:w="28" w:type="dxa"/>
          <w:left w:w="28" w:type="dxa"/>
          <w:bottom w:w="28" w:type="dxa"/>
          <w:right w:w="28" w:type="dxa"/>
        </w:tblCellMar>
      </w:tblPr>
      <w:tblGrid>
        <w:gridCol w:w="842"/>
        <w:gridCol w:w="564"/>
        <w:gridCol w:w="569"/>
        <w:gridCol w:w="416"/>
        <w:gridCol w:w="1184"/>
        <w:gridCol w:w="233"/>
        <w:gridCol w:w="109"/>
        <w:gridCol w:w="109"/>
        <w:gridCol w:w="109"/>
        <w:gridCol w:w="196"/>
        <w:gridCol w:w="466"/>
        <w:gridCol w:w="109"/>
        <w:gridCol w:w="109"/>
        <w:gridCol w:w="109"/>
        <w:gridCol w:w="109"/>
        <w:gridCol w:w="614"/>
        <w:gridCol w:w="1466"/>
        <w:gridCol w:w="345"/>
        <w:gridCol w:w="109"/>
        <w:gridCol w:w="109"/>
        <w:gridCol w:w="109"/>
        <w:gridCol w:w="196"/>
        <w:gridCol w:w="556"/>
        <w:gridCol w:w="109"/>
        <w:gridCol w:w="109"/>
        <w:gridCol w:w="109"/>
        <w:gridCol w:w="109"/>
        <w:gridCol w:w="109"/>
        <w:gridCol w:w="109"/>
        <w:gridCol w:w="109"/>
        <w:gridCol w:w="109"/>
        <w:gridCol w:w="109"/>
        <w:gridCol w:w="109"/>
        <w:gridCol w:w="109"/>
        <w:gridCol w:w="109"/>
        <w:gridCol w:w="160"/>
      </w:tblGrid>
      <w:tr>
        <w:tc>
          <w:tcPr>
            <w:tcW w:w="8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Indefinite-lived: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10"/>
            <w:tcBorders/>
          </w:tcPr>
          <w:p>
            <w:pPr>
              <w:pStyle w:val="TableContents"/>
              <w:bidi w:val="0"/>
              <w:spacing w:before="0" w:after="283"/>
              <w:jc w:val="left"/>
              <w:rPr>
                <w:sz w:val="4"/>
                <w:szCs w:val="4"/>
              </w:rPr>
            </w:pPr>
            <w:r>
              <w:rPr>
                <w:sz w:val="4"/>
                <w:szCs w:val="4"/>
              </w:rPr>
            </w:r>
          </w:p>
        </w:tc>
      </w:tr>
      <w:t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 names and Trademarks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Patents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 Distributor Relationships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Useful Life (Years)</w:t>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December 31, 2025</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w:t>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September 30, 2026</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1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book value, September 30, 2026</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December 31, 2025</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book value, December 31, 2025</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recognized $0.3 million of amortization expense related to acquired intangible assets for each of the three months ended September 30, 2026 and 2025, which is primarily recorded in selling, general and administrative expenses in the condensed consolidated statements of operations. We recognized $0.7 million of amortization expense related to acquired intangible assets for each of the nine months ended September 30, 2026 and 2025, which is primarily recorded in selling, general and administrative expenses in the condensed consolidated statements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intangible asset amortization expense is expected to be incurred for the periods presented as follows (in millions):</w:t>
      </w:r>
    </w:p>
    <w:tbl>
      <w:tblPr>
        <w:tblW w:w="2210" w:type="dxa"/>
        <w:jc w:val="left"/>
        <w:tblInd w:w="0" w:type="dxa"/>
        <w:tblLayout w:type="fixed"/>
        <w:tblCellMar>
          <w:top w:w="28" w:type="dxa"/>
          <w:left w:w="28" w:type="dxa"/>
          <w:bottom w:w="28" w:type="dxa"/>
          <w:right w:w="28" w:type="dxa"/>
        </w:tblCellMar>
      </w:tblPr>
      <w:tblGrid>
        <w:gridCol w:w="538"/>
        <w:gridCol w:w="472"/>
        <w:gridCol w:w="474"/>
        <w:gridCol w:w="196"/>
        <w:gridCol w:w="376"/>
        <w:gridCol w:w="154"/>
      </w:tblGrid>
      <w:t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c>
          <w:tcPr>
            <w:tcW w:w="14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16610"/>
                <wp:effectExtent l="0" t="0" r="0" b="0"/>
                <wp:wrapNone/>
                <wp:docPr id="21" name="Frame2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9. Investments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Investment in Topgolf</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completion of the sale of our 60% ownership interest in Topgolf effective January 1, 2026, we retained a 40% non-controlling interest with an initial value of $248.5 million. The retained investment is accounted for under the equity method and was recorded at fair value using Level 3 inputs based on the equity value of Topgolf which was derived from the transaction price and adjusted for working capital and other transaction specific adjustments. The carrying amount of the investment is subsequently adjusted to reflect our proportionate share of Topgolf’s income or losses and dividends and distributions received. During the second quarter of 2026, Topgolf sold additional dilutive units which decreased our non-controlling interest to 39.3%.</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information for Topgolf for the periods presented (amounts in millions). Amounts presented represent the results of operations of Topgolf and do not represent our proportionate share:</w:t>
      </w:r>
    </w:p>
    <w:tbl>
      <w:tblPr>
        <w:tblW w:w="9825" w:type="dxa"/>
        <w:jc w:val="center"/>
        <w:tblInd w:w="0" w:type="dxa"/>
        <w:tblLayout w:type="fixed"/>
        <w:tblCellMar>
          <w:top w:w="28" w:type="dxa"/>
          <w:left w:w="28" w:type="dxa"/>
          <w:bottom w:w="28" w:type="dxa"/>
          <w:right w:w="28" w:type="dxa"/>
        </w:tblCellMar>
      </w:tblPr>
      <w:tblGrid>
        <w:gridCol w:w="1032"/>
        <w:gridCol w:w="907"/>
        <w:gridCol w:w="910"/>
        <w:gridCol w:w="610"/>
        <w:gridCol w:w="1733"/>
        <w:gridCol w:w="342"/>
        <w:gridCol w:w="109"/>
        <w:gridCol w:w="2596"/>
        <w:gridCol w:w="109"/>
        <w:gridCol w:w="109"/>
        <w:gridCol w:w="109"/>
        <w:gridCol w:w="196"/>
        <w:gridCol w:w="691"/>
        <w:gridCol w:w="109"/>
        <w:gridCol w:w="109"/>
        <w:gridCol w:w="154"/>
      </w:tblGrid>
      <w:t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586" w:type="dxa"/>
            <w:gridSpan w:val="8"/>
            <w:tcBorders/>
          </w:tcPr>
          <w:p>
            <w:pPr>
              <w:pStyle w:val="TableContents"/>
              <w:bidi w:val="0"/>
              <w:spacing w:before="0" w:after="283"/>
              <w:jc w:val="left"/>
              <w:rPr>
                <w:sz w:val="4"/>
                <w:szCs w:val="4"/>
              </w:rPr>
            </w:pPr>
            <w:r>
              <w:rPr>
                <w:sz w:val="4"/>
                <w:szCs w:val="4"/>
              </w:rPr>
            </w:r>
          </w:p>
        </w:tc>
      </w:tr>
      <w:t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we recognized $17.9 million and $46.6 million, respectively, of equity method investment loss for our respective share of Topgolf’s earnings, which is recorded in income (loss) from equity method investments in the condensed consolidated statement of operations. During the second quarter of 2026, we recognized a $6.5 million distribution from Topgolf, which reduced the carrying value of our investment. We classify cash flows from equity method investment distributions using the cumulative earnings approach. Based on this approach, we determined the distribution was a return of investment and it was therefore classified within investing activities in the condensed consolidated statements of cash flows. As of September 30, 2026, the carrying value of our investment in Topgolf was $195.2 million and is included in equity method investments on our condensed consolidated balance sheets.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we recognized $1.6 million and $6.9 million, respectively, in net sales for products sold under our commercial agreement with Topgolf. Our share of intra-entity profits on certain sales transactions with Topgolf are eliminated until realized. As of September 30, 2026, we had $2.1 million in open receivables due from Topgolf related to product sales and services under the commercial and transition service agreements.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Investment in Full Swing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held an ownership interest of less than 20.0% in Full Swing Golf Holdings, LLC (“Full Swing”), owners of multi-sport indoor virtualization and simulation technology. The initial investment was accounted for at cost and is subsequently adjusted for observable changes in fair value or impairments. As of December 31, 2025, the carrying value of our investment in Full Swing was $9.3 million, and was included in other assets, net on our condensed consolidated balance sheets.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6, 2026, Versant Media Group, Inc. announced that it had entered into a definitive agreement to acquire the Full Swing business in its entirety. The transaction closed on August 3, 2026, and we received cash proceeds of $24.6 million. Based on the carrying value of our investment as of the date of the sale, we recognized a gain of approximately $15.4 million, which was included in other income (expense), net in the condensed consolidated statement of operations during the three months ended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16610"/>
                <wp:effectExtent l="0" t="0" r="0" b="0"/>
                <wp:wrapNone/>
                <wp:docPr id="22" name="Frame2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Investment in Five Iron Golf</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an ownership interest of less than 20.0% in The Range NYC, LLC (“Five Iron Golf”), an urban indoor golf experience company which hosts a golf simulation technology and serves food and beverage. The initial investment was accounted for at cost and is subsequently adjusted for observable changes in fair value or impairments. During the nine months ended September 30, 2026, we recognized a $4.6 million fair value step-up in our investment primarily based on Level 3 inputs related to an observable market transaction that occurred during the first quarter of 2026. As of September 30, 2026 and December 31, 2025, the carrying value of our investment in Five Iron Golf was $38.5 million and $33.9 million, respectively, and is included in other assets, net on our condensed consolidated balance sheets.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 xml:space="preserve">Other Investments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investments above, as of September 30, 2026 and December 31, 2025, we had other investments of approximately $5.3 million and $4.4 million, respectively, which are classified in other assets, net on our condensed consolidated balance sheets. The investments are accounted for at cost less impairments and are adjusted for observable changes in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10. Selected Financial Data</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Selected financial data as of the dates presented below is as follows (in millions, except useful life data):</w:t>
      </w:r>
    </w:p>
    <w:tbl>
      <w:tblPr>
        <w:tblW w:w="8707" w:type="dxa"/>
        <w:jc w:val="left"/>
        <w:tblInd w:w="0" w:type="dxa"/>
        <w:tblLayout w:type="fixed"/>
        <w:tblCellMar>
          <w:top w:w="28" w:type="dxa"/>
          <w:left w:w="28" w:type="dxa"/>
          <w:bottom w:w="28" w:type="dxa"/>
          <w:right w:w="28" w:type="dxa"/>
        </w:tblCellMar>
      </w:tblPr>
      <w:tblGrid>
        <w:gridCol w:w="1199"/>
        <w:gridCol w:w="1054"/>
        <w:gridCol w:w="1061"/>
        <w:gridCol w:w="549"/>
        <w:gridCol w:w="549"/>
        <w:gridCol w:w="551"/>
        <w:gridCol w:w="109"/>
        <w:gridCol w:w="109"/>
        <w:gridCol w:w="109"/>
        <w:gridCol w:w="351"/>
        <w:gridCol w:w="997"/>
        <w:gridCol w:w="197"/>
        <w:gridCol w:w="109"/>
        <w:gridCol w:w="109"/>
        <w:gridCol w:w="109"/>
        <w:gridCol w:w="334"/>
        <w:gridCol w:w="949"/>
        <w:gridCol w:w="262"/>
      </w:tblGrid>
      <w:tr>
        <w:tc>
          <w:tcPr>
            <w:tcW w:w="119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current assets: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and other receivables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return reserve cost recovery asset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assets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computer hardware and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Internal-use software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molds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Construction-in-process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gross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314" w:type="dxa"/>
            <w:gridSpan w:val="3"/>
            <w:tcBorders/>
            <w:vAlign w:val="center"/>
          </w:tcPr>
          <w:p>
            <w:pPr>
              <w:pStyle w:val="TableContents"/>
              <w:bidi w:val="0"/>
              <w:spacing w:before="0" w:after="283"/>
              <w:jc w:val="left"/>
              <w:rPr>
                <w:sz w:val="4"/>
                <w:szCs w:val="4"/>
              </w:rPr>
            </w:pPr>
            <w:r>
              <w:rPr>
                <w:sz w:val="4"/>
                <w:szCs w:val="4"/>
              </w:rPr>
            </w:r>
          </w:p>
        </w:tc>
        <w:tc>
          <w:tcPr>
            <w:tcW w:w="5393"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is recognized in cost of sales, research and development expense, and selling, general and administrative expense on the condensed consolidated statement of operations, consistent with the use of the underlying asset. For the three months ended September 30, 2026 and 2025, we recorded total depreciation expense of $10.3 million and $10.5 million, respectively, in our condensed consolidated statements of operations. For the nine months ended September 30, 2026 and 2025, we recorded total depreciation expense of $30.2 million and $33.0 million, respectively, in our condensed consolidated statements of operations.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16610"/>
                <wp:effectExtent l="0" t="0" r="0" b="0"/>
                <wp:wrapNone/>
                <wp:docPr id="23" name="Frame2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tbl>
      <w:tblPr>
        <w:tblW w:w="6715" w:type="dxa"/>
        <w:jc w:val="left"/>
        <w:tblInd w:w="0" w:type="dxa"/>
        <w:tblLayout w:type="fixed"/>
        <w:tblCellMar>
          <w:top w:w="28" w:type="dxa"/>
          <w:left w:w="28" w:type="dxa"/>
          <w:bottom w:w="28" w:type="dxa"/>
          <w:right w:w="28" w:type="dxa"/>
        </w:tblCellMar>
      </w:tblPr>
      <w:tblGrid>
        <w:gridCol w:w="1194"/>
        <w:gridCol w:w="1051"/>
        <w:gridCol w:w="1054"/>
        <w:gridCol w:w="351"/>
        <w:gridCol w:w="997"/>
        <w:gridCol w:w="197"/>
        <w:gridCol w:w="109"/>
        <w:gridCol w:w="109"/>
        <w:gridCol w:w="109"/>
        <w:gridCol w:w="334"/>
        <w:gridCol w:w="948"/>
        <w:gridCol w:w="262"/>
      </w:tblGrid>
      <w:t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payable and accrued expenses: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inventory</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payable and accrued expenses</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299" w:type="dxa"/>
            <w:gridSpan w:val="3"/>
            <w:tcBorders/>
            <w:vAlign w:val="center"/>
          </w:tcPr>
          <w:p>
            <w:pPr>
              <w:pStyle w:val="TableContents"/>
              <w:bidi w:val="0"/>
              <w:spacing w:before="0" w:after="283"/>
              <w:jc w:val="left"/>
              <w:rPr>
                <w:sz w:val="4"/>
                <w:szCs w:val="4"/>
              </w:rPr>
            </w:pPr>
            <w:r>
              <w:rPr>
                <w:sz w:val="4"/>
                <w:szCs w:val="4"/>
              </w:rPr>
            </w:r>
          </w:p>
        </w:tc>
        <w:tc>
          <w:tcPr>
            <w:tcW w:w="3416"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calculate our interim income tax provision in accordance with ASC Topic 270, “Interim Reporting,” and ASC Topic 740, “Accounting for Income Taxes.” At the end of each interim period, we estimate our annual effective tax rate and apply that rate to our ordinary quarterly earnings to calculate the tax related to ordinary income. The tax effects for other items that are excluded from ordinary income are discretely calculated and recognized in the period in which they occur.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an income tax benefit of $0.3 million and an income tax provision of $2.7 million for the three months ended September 30, 2026 and 2025, respectively. As a percentage of pre-tax income, our effective tax rate was (0.6)% and (192.9)% for the three months ended September 30, 2026 and 2025, respectively. For the three months ended September 30, 2026, the difference between the statutory tax rate and the effective tax rate is primarily due to the use of capital loss carryforwards to fully offset the taxable gain on the sale of our investment in Full Swing, partially offset by the impacts of valuation allowances related to our investment in Topgolf. For the three months ended September 30, 2025, the difference between the statutory tax rate and the effective tax rate is primarily due to minimum taxes on our foreign earnings and discrete tax adjustments related to share-based compensation. The net impact of these items on the effective tax rate for the third quarter of 2026 and 2025 resulted in a tax provision that is not directly proportional to the quarter’s pre-tax income/ loss.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an income tax provision of $67.2 million and $43.0 million for the nine months ended September 30, 2026 and 2025, respectively. As a percentage of pre-tax income, our effective tax rate was 25.3% and 29.1% for the nine months ended September 30, 2026 and 2025, respectively. For the nine months ended September 30, 2026, the difference between the statutory tax rate and the effective tax rate is primarily due to the impacts of valuation allowances related to our investment in Topgolf, partially offset by the use of capital loss carryforwards to fully offset the taxable gain on the sale of our investment in Full Swing. For the nine months ended September 30, 2025, the difference between the statutory tax rate and the effective tax rate is primarily due to minimum taxes on our foreign earnings and discrete tax adjustments related to share-based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gross liability for income taxes associated with uncertain tax positions was $19.1 million. Of this amount, $10.5 million would benefit our condensed consolidated financial statements and effective income tax rate if favorably settled. We recognize interest and penalties related to income tax matters 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12. Commitments &amp; Contingencies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routine legal claims, proceedings, and investigations associated with the normal conduct of our business activities, including commercial disputes and employment matters. We also receive from time-to-time information claiming that products we sell infringe or may infringe patent, trademark, or other intellectual property rights of third parties. One or more such claims of potential infringement could lead to litigation, the need to obtain licenses, the need to alter a product to avoid infringement, a settlement or judgment, or some other action or material loss, which could adversely affect our overall ability to protect our product designs and ultimately limit our future success in the marketplace. Additionally, we are occasionally subject to non-routine claims, proceedings, or investigations.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16610"/>
                <wp:effectExtent l="0" t="0" r="0" b="0"/>
                <wp:wrapNone/>
                <wp:docPr id="24" name="Frame2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We regularly assess such matters to determine the degree of probability that we will incur a material loss as a result of such matters, as well as the range of possible loss. An estimated loss contingency is accrued in our financial statements if it is probable we will incur a loss and the amount of the loss can be reasonably estimated. Historically, the claims, proceedings, and investigations brought against us, individually and in the aggregate, have not had a material adverse effect on our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 xml:space="preserve">consolidated results of operations, cash flows or financial position. While it is not possible to predict the outcome of the pending actions, and, as with any litigation, it is possible that some of these actions could be decided unfavorably, we do not believe that the matters currently pending against us will have a material adverse effect on our business,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consolidated results of operations, cash flows or financial position.</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our business, we enter into agreements to purchase goods and services, including commitments for endorsement agreements with professional athletes and other endorsers, consulting and service agreements, intellectual property licensing agreements pursuant to which we are required to pay royalty fees, and signed retail lease agreements of which we have not taken possession as of period-end. The amounts listed below approximate the minimum future commitments we are obligated to pay under these agreements. The actual amounts paid under some of the agreements may be higher or lower than these amounts due to the variable nature of these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minimum obligation we are required to pay under these agreements over the next five years and thereafter is as follows (in millions):</w:t>
      </w:r>
    </w:p>
    <w:tbl>
      <w:tblPr>
        <w:tblW w:w="2300" w:type="dxa"/>
        <w:jc w:val="left"/>
        <w:tblInd w:w="0" w:type="dxa"/>
        <w:tblLayout w:type="fixed"/>
        <w:tblCellMar>
          <w:top w:w="28" w:type="dxa"/>
          <w:left w:w="28" w:type="dxa"/>
          <w:bottom w:w="28" w:type="dxa"/>
          <w:right w:w="28" w:type="dxa"/>
        </w:tblCellMar>
      </w:tblPr>
      <w:tblGrid>
        <w:gridCol w:w="538"/>
        <w:gridCol w:w="472"/>
        <w:gridCol w:w="474"/>
        <w:gridCol w:w="196"/>
        <w:gridCol w:w="466"/>
        <w:gridCol w:w="154"/>
      </w:tblGrid>
      <w:t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Other Contingent Contractual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business, we have made certain indemnities, commitments and guarantees under which we may be required to make payments in relation to certain transactions. The duration of these indemnities, commitments and guarantees varies, and in certain cases, may be indefinite and the majority of these indemnities, commitments and guarantees do not provide for any limitation on the maximum amount of future payments we could be obligated to make. Historically, costs incurred to settle claims related to indemnities have not been material to our financial position, results of operations or cash flows. In addition, we believe the likelihood is remote that payments under the commitments and guarantees described above will have a material effect on our condensed consolidated financial statements. The fair value of indemnities, commitments and guarantees that we issued during the three and nine months ended, and as of September 30, 2026, was not material to our financial position, results of operations or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also made certain indemnities under which we may be required to make payments in relation to divestitures of the Topgolf and Jack Wolfskin businesses. These include indemnities against (i) damages arising from certain ongoing litigation matters, (ii) certain exempted claims and (iii) certain pre-closing tax and other liabilities. As of September 30, 2026, we have $2.1 million of indemnities recorded related to the disposals of our businesses (see Note 3), which are reported in other long-term liabilities on the condensed consolidated balance sheet.</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Tariff Refunds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ruled that certain tariffs previously imposed under the International Emergency Economic Powers Act (“IEEPA”) were unauthorized by statute. In March 2026, the U.S. Court of International Trade issued an order directing U.S. Customs and Border Protection (“CBP”) to begin processing refunds of certain IEEPA tariffs. As a result, we identified approximately $49.5 million of potential refund claims related to previously paid IEEPA tariffs, of which approximately $42.6 million has been received as of September 30, 2026. The remaining potential refund claims have not yet been filed and remain subject to applicable eligibility, filing, and recovery requirements.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16610"/>
                <wp:effectExtent l="0" t="0" r="0" b="0"/>
                <wp:wrapNone/>
                <wp:docPr id="25" name="Frame2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potential recoveries related to these tariff refund claims under the gain contingency guidance in ASC 450 and recognize refunds only when they are deemed realizable. The principal portion of the refunds is reflected as a reduction of cost of sales for amounts related to goods already sold and any associated interest income received on the tariff refunds is recognized within interest income (expense), net in the condensed consolidated statements of operations. During the three and nine months ended September 30, 2026, we recognized IEEPA tariff refund benefits of $33.5 million and $44.3 million, respectively, of which $31.8 million and $42.6 million were recognized in cost of sales, respectively, and $1.7 million was recognized in interest income (expense), net, in each period.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ultimate amount, if any, and timing of additional recoveries remain subject to ongoing legal, regulatory, and administrative proceedings, and we will recognize additional tariff refunds when deemed realizable.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 xml:space="preserve">Note 13. Share-Based Compensation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Share-Based Awards Granted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granted the following awards under our stock compensation plans during the periods presented (in millions, except per share data):</w:t>
      </w:r>
    </w:p>
    <w:tbl>
      <w:tblPr>
        <w:tblW w:w="11082" w:type="dxa"/>
        <w:jc w:val="left"/>
        <w:tblInd w:w="0" w:type="dxa"/>
        <w:tblLayout w:type="fixed"/>
        <w:tblCellMar>
          <w:top w:w="28" w:type="dxa"/>
          <w:left w:w="28" w:type="dxa"/>
          <w:bottom w:w="28" w:type="dxa"/>
          <w:right w:w="28" w:type="dxa"/>
        </w:tblCellMar>
      </w:tblPr>
      <w:tblGrid>
        <w:gridCol w:w="494"/>
        <w:gridCol w:w="263"/>
        <w:gridCol w:w="264"/>
        <w:gridCol w:w="109"/>
        <w:gridCol w:w="109"/>
        <w:gridCol w:w="109"/>
        <w:gridCol w:w="250"/>
        <w:gridCol w:w="250"/>
        <w:gridCol w:w="251"/>
        <w:gridCol w:w="328"/>
        <w:gridCol w:w="930"/>
        <w:gridCol w:w="183"/>
        <w:gridCol w:w="109"/>
        <w:gridCol w:w="109"/>
        <w:gridCol w:w="109"/>
        <w:gridCol w:w="240"/>
        <w:gridCol w:w="240"/>
        <w:gridCol w:w="241"/>
        <w:gridCol w:w="366"/>
        <w:gridCol w:w="870"/>
        <w:gridCol w:w="205"/>
        <w:gridCol w:w="109"/>
        <w:gridCol w:w="109"/>
        <w:gridCol w:w="109"/>
        <w:gridCol w:w="240"/>
        <w:gridCol w:w="240"/>
        <w:gridCol w:w="241"/>
        <w:gridCol w:w="328"/>
        <w:gridCol w:w="930"/>
        <w:gridCol w:w="183"/>
        <w:gridCol w:w="109"/>
        <w:gridCol w:w="109"/>
        <w:gridCol w:w="109"/>
        <w:gridCol w:w="250"/>
        <w:gridCol w:w="250"/>
        <w:gridCol w:w="251"/>
        <w:gridCol w:w="356"/>
        <w:gridCol w:w="848"/>
        <w:gridCol w:w="282"/>
      </w:tblGrid>
      <w:tr>
        <w:tc>
          <w:tcPr>
            <w:tcW w:w="4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Shares Granted</w:t>
            </w:r>
            <w:r>
              <w:rPr>
                <w:rFonts w:ascii="Times New Roman;serif" w:hAnsi="Times New Roman;serif"/>
                <w:b/>
                <w:color w:val="000000"/>
                <w:sz w:val="10"/>
              </w:rPr>
              <w:t>(1)</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Granted</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Granted</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Shares Granted</w:t>
            </w:r>
            <w:r>
              <w:rPr>
                <w:rFonts w:ascii="Times New Roman;serif" w:hAnsi="Times New Roman;serif"/>
                <w:b/>
                <w:color w:val="000000"/>
                <w:sz w:val="10"/>
              </w:rPr>
              <w:t>(2)</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Performance based restricted share unit awards</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082" w:type="dxa"/>
            <w:gridSpan w:val="39"/>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 xml:space="preserve">We granted less than 0.1 million shares during the three months ended September 30, 2026. </w:t>
            </w:r>
          </w:p>
        </w:tc>
      </w:tr>
      <w:tr>
        <w:tc>
          <w:tcPr>
            <w:tcW w:w="11082" w:type="dxa"/>
            <w:gridSpan w:val="39"/>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6"/>
              </w:rPr>
              <w:t>Shares granted during fiscal year 2025 include awards granted to employees of our discontinued operations certain of which will continue to vest in accordance with the original terms of the respective awards.</w:t>
            </w:r>
          </w:p>
        </w:tc>
      </w:tr>
      <w:tr>
        <w:tc>
          <w:tcPr>
            <w:tcW w:w="11082" w:type="dxa"/>
            <w:gridSpan w:val="39"/>
            <w:tcBorders/>
            <w:tcMar>
              <w:top w:w="0" w:type="dxa"/>
              <w:left w:w="0" w:type="dxa"/>
              <w:bottom w:w="0" w:type="dxa"/>
              <w:right w:w="0" w:type="dxa"/>
            </w:tcMar>
            <w:vAlign w:val="center"/>
          </w:tcPr>
          <w:p>
            <w:pPr>
              <w:pStyle w:val="TableContents"/>
              <w:bidi w:val="0"/>
              <w:spacing w:lineRule="auto" w:line="240" w:before="0" w:after="40"/>
              <w:ind w:left="0" w:right="0" w:hanging="180"/>
              <w:jc w:val="left"/>
            </w:pPr>
            <w:r>
              <w:rPr>
                <w:rFonts w:ascii="Times New Roman;serif" w:hAnsi="Times New Roman;serif"/>
                <w:b w:val="false"/>
                <w:color w:val="000000"/>
                <w:sz w:val="12"/>
              </w:rPr>
              <w:t xml:space="preserve">(3) </w:t>
            </w:r>
            <w:r>
              <w:rPr>
                <w:rFonts w:ascii="Times New Roman;serif" w:hAnsi="Times New Roman;serif"/>
                <w:b w:val="false"/>
                <w:color w:val="000000"/>
                <w:sz w:val="16"/>
              </w:rPr>
              <w:t>Weighted-average grant date fair value per share determined using Monte-Carlo valuation method.</w:t>
            </w:r>
          </w:p>
        </w:tc>
      </w:tr>
    </w:tbl>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by award-type, net of estimated forfeitures, recognized in the condensed consolidated statement of operations for the periods presented was (in millions):</w:t>
      </w:r>
    </w:p>
    <w:tbl>
      <w:tblPr>
        <w:tblW w:w="9467" w:type="dxa"/>
        <w:jc w:val="left"/>
        <w:tblInd w:w="0" w:type="dxa"/>
        <w:tblLayout w:type="fixed"/>
        <w:tblCellMar>
          <w:top w:w="28" w:type="dxa"/>
          <w:left w:w="28" w:type="dxa"/>
          <w:bottom w:w="28" w:type="dxa"/>
          <w:right w:w="28" w:type="dxa"/>
        </w:tblCellMar>
      </w:tblPr>
      <w:tblGrid>
        <w:gridCol w:w="1266"/>
        <w:gridCol w:w="1112"/>
        <w:gridCol w:w="1116"/>
        <w:gridCol w:w="109"/>
        <w:gridCol w:w="109"/>
        <w:gridCol w:w="109"/>
        <w:gridCol w:w="311"/>
        <w:gridCol w:w="597"/>
        <w:gridCol w:w="173"/>
        <w:gridCol w:w="173"/>
        <w:gridCol w:w="173"/>
        <w:gridCol w:w="173"/>
        <w:gridCol w:w="311"/>
        <w:gridCol w:w="597"/>
        <w:gridCol w:w="173"/>
        <w:gridCol w:w="109"/>
        <w:gridCol w:w="109"/>
        <w:gridCol w:w="109"/>
        <w:gridCol w:w="270"/>
        <w:gridCol w:w="643"/>
        <w:gridCol w:w="150"/>
        <w:gridCol w:w="150"/>
        <w:gridCol w:w="150"/>
        <w:gridCol w:w="150"/>
        <w:gridCol w:w="270"/>
        <w:gridCol w:w="643"/>
        <w:gridCol w:w="212"/>
      </w:tblGrid>
      <w:t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Performance based restricted share unit awards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16610"/>
                <wp:effectExtent l="0" t="0" r="0" b="0"/>
                <wp:wrapNone/>
                <wp:docPr id="26" name="Frame2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Share-based compensation, net of estimated forfeitures, recognized in the condensed consolidated statement of operations for the periods presented was (in millions):</w:t>
      </w:r>
    </w:p>
    <w:tbl>
      <w:tblPr>
        <w:tblW w:w="9393" w:type="dxa"/>
        <w:jc w:val="left"/>
        <w:tblInd w:w="0" w:type="dxa"/>
        <w:tblLayout w:type="fixed"/>
        <w:tblCellMar>
          <w:top w:w="28" w:type="dxa"/>
          <w:left w:w="28" w:type="dxa"/>
          <w:bottom w:w="28" w:type="dxa"/>
          <w:right w:w="28" w:type="dxa"/>
        </w:tblCellMar>
      </w:tblPr>
      <w:tblGrid>
        <w:gridCol w:w="1231"/>
        <w:gridCol w:w="1084"/>
        <w:gridCol w:w="1105"/>
        <w:gridCol w:w="109"/>
        <w:gridCol w:w="109"/>
        <w:gridCol w:w="109"/>
        <w:gridCol w:w="311"/>
        <w:gridCol w:w="597"/>
        <w:gridCol w:w="173"/>
        <w:gridCol w:w="173"/>
        <w:gridCol w:w="173"/>
        <w:gridCol w:w="173"/>
        <w:gridCol w:w="311"/>
        <w:gridCol w:w="597"/>
        <w:gridCol w:w="173"/>
        <w:gridCol w:w="109"/>
        <w:gridCol w:w="109"/>
        <w:gridCol w:w="109"/>
        <w:gridCol w:w="270"/>
        <w:gridCol w:w="643"/>
        <w:gridCol w:w="150"/>
        <w:gridCol w:w="150"/>
        <w:gridCol w:w="150"/>
        <w:gridCol w:w="150"/>
        <w:gridCol w:w="270"/>
        <w:gridCol w:w="643"/>
        <w:gridCol w:w="212"/>
      </w:tblGrid>
      <w:t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after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14. Fair Value of Financial Instruments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amounts of our cash and cash equivalents (which include money market funds), accounts receivable, accounts payable, accrued expenses, and certain other short</w:t>
        <w:noBreakHyphen/>
        <w:t>term assets and liabilities approximate fair value due to their short</w:t>
        <w:noBreakHyphen/>
        <w:t>term nature.</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Money Market Funds</w:t>
      </w:r>
    </w:p>
    <w:p>
      <w:pPr>
        <w:pStyle w:val="TextBody"/>
        <w:bidi w:val="0"/>
        <w:spacing w:lineRule="auto" w:line="288" w:before="120" w:after="283"/>
        <w:ind w:left="0" w:right="0" w:firstLine="630"/>
        <w:jc w:val="both"/>
      </w:pPr>
      <w:r>
        <w:rPr>
          <w:rFonts w:ascii="Times New Roman;serif" w:hAnsi="Times New Roman;serif"/>
          <w:b w:val="false"/>
          <w:color w:val="000000"/>
          <w:sz w:val="20"/>
        </w:rPr>
        <w:t>As of September 30, 2026 and December 31, 2025, the carrying value of our money market funds was</w:t>
      </w:r>
      <w:r>
        <w:rPr>
          <w:color w:val="000000"/>
          <w:shd w:fill="FFFFFF" w:val="clear"/>
        </w:rPr>
        <w:t xml:space="preserve"> </w:t>
      </w:r>
      <w:r>
        <w:rPr>
          <w:rFonts w:ascii="Times New Roman;serif" w:hAnsi="Times New Roman;serif"/>
          <w:b w:val="false"/>
          <w:color w:val="000000"/>
          <w:sz w:val="20"/>
          <w:shd w:fill="FFFFFF" w:val="clear"/>
        </w:rPr>
        <w:t>$325.1 million</w:t>
      </w:r>
      <w:r>
        <w:rPr>
          <w:color w:val="000000"/>
        </w:rPr>
        <w:t xml:space="preserve"> </w:t>
      </w:r>
      <w:r>
        <w:rPr>
          <w:rFonts w:ascii="Times New Roman;serif" w:hAnsi="Times New Roman;serif"/>
          <w:b w:val="false"/>
          <w:color w:val="000000"/>
          <w:sz w:val="20"/>
        </w:rPr>
        <w:t>and $791.7 million, respectively, which is included in cash and cash equivalents on our condensed consolidated balance sheets.</w:t>
      </w:r>
      <w:r>
        <w:rPr>
          <w:color w:val="000000"/>
          <w:shd w:fill="FFFFFF" w:val="clear"/>
        </w:rPr>
        <w:t xml:space="preserve"> </w:t>
      </w:r>
      <w:r>
        <w:rPr>
          <w:rFonts w:ascii="Times New Roman;serif" w:hAnsi="Times New Roman;serif"/>
          <w:b w:val="false"/>
          <w:color w:val="000000"/>
          <w:sz w:val="20"/>
        </w:rPr>
        <w:t xml:space="preserve">During the three months ended September 30, 2026 and September 30, 2025, we recognized </w:t>
      </w:r>
      <w:r>
        <w:rPr>
          <w:rFonts w:ascii="Times New Roman;serif" w:hAnsi="Times New Roman;serif"/>
          <w:b w:val="false"/>
          <w:color w:val="000000"/>
          <w:sz w:val="20"/>
          <w:shd w:fill="FFFFFF" w:val="clear"/>
        </w:rPr>
        <w:t xml:space="preserve">$2.4 million and $7.0 million, respectively, of dividend income on our money market funds. </w:t>
      </w:r>
      <w:r>
        <w:rPr>
          <w:rFonts w:ascii="Times New Roman;serif" w:hAnsi="Times New Roman;serif"/>
          <w:b w:val="false"/>
          <w:color w:val="000000"/>
          <w:sz w:val="20"/>
        </w:rPr>
        <w:t xml:space="preserve">During the nine months ended September 30, 2026 and September 30, 2025, we recognized </w:t>
      </w:r>
      <w:r>
        <w:rPr>
          <w:rFonts w:ascii="Times New Roman;serif" w:hAnsi="Times New Roman;serif"/>
          <w:b w:val="false"/>
          <w:color w:val="000000"/>
          <w:sz w:val="20"/>
          <w:shd w:fill="FFFFFF" w:val="clear"/>
        </w:rPr>
        <w:t xml:space="preserve">$9.1 million and $12.4 million, respectively, of dividend income on our money market funds. </w:t>
      </w:r>
      <w:r>
        <w:rPr>
          <w:rFonts w:ascii="Times New Roman;serif" w:hAnsi="Times New Roman;serif"/>
          <w:b w:val="false"/>
          <w:color w:val="000000"/>
          <w:sz w:val="20"/>
        </w:rPr>
        <w:t>Dividend income is included in other income (expense), net in the condensed consolidated statements of operations.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valuation of our foreign currency forward contracts (see Note 15) that are measured at fair value on a recurring basis and are categorized within Level 2 of the fair value hierarchy as of the periods presented below (in millions):</w:t>
      </w:r>
    </w:p>
    <w:tbl>
      <w:tblPr>
        <w:tblW w:w="6097" w:type="dxa"/>
        <w:jc w:val="left"/>
        <w:tblInd w:w="0" w:type="dxa"/>
        <w:tblLayout w:type="fixed"/>
        <w:tblCellMar>
          <w:top w:w="28" w:type="dxa"/>
          <w:left w:w="28" w:type="dxa"/>
          <w:bottom w:w="28" w:type="dxa"/>
          <w:right w:w="28" w:type="dxa"/>
        </w:tblCellMar>
      </w:tblPr>
      <w:tblGrid>
        <w:gridCol w:w="1429"/>
        <w:gridCol w:w="1255"/>
        <w:gridCol w:w="1260"/>
        <w:gridCol w:w="109"/>
        <w:gridCol w:w="109"/>
        <w:gridCol w:w="109"/>
        <w:gridCol w:w="109"/>
        <w:gridCol w:w="377"/>
        <w:gridCol w:w="868"/>
        <w:gridCol w:w="209"/>
        <w:gridCol w:w="109"/>
        <w:gridCol w:w="154"/>
      </w:tblGrid>
      <w:t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16"/>
              </w:rPr>
            </w:pPr>
            <w:r>
              <w:rPr>
                <w:rFonts w:ascii="Times New Roman;serif" w:hAnsi="Times New Roman;serif"/>
                <w:b/>
                <w:color w:val="000000"/>
                <w:sz w:val="16"/>
              </w:rPr>
              <w:t>September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contracts—asset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contracts—liability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contracts—asset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contracts—liability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between the levels of the fair value hierarchy during the three and nine months ended September 30, 2026 or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16610"/>
                <wp:effectExtent l="0" t="0" r="0" b="0"/>
                <wp:wrapNone/>
                <wp:docPr id="27" name="Frame2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Disclosures about the Fair Value of Financial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information about the fair value of our financial liabilities, and is provided for comparative purposes only relative to the carrying values recognized in the condensed consolidated balance sheets as of the periods presented below (in millions): </w:t>
      </w:r>
    </w:p>
    <w:tbl>
      <w:tblPr>
        <w:tblW w:w="8796" w:type="dxa"/>
        <w:jc w:val="left"/>
        <w:tblInd w:w="0" w:type="dxa"/>
        <w:tblLayout w:type="fixed"/>
        <w:tblCellMar>
          <w:top w:w="28" w:type="dxa"/>
          <w:left w:w="28" w:type="dxa"/>
          <w:bottom w:w="28" w:type="dxa"/>
          <w:right w:w="28" w:type="dxa"/>
        </w:tblCellMar>
      </w:tblPr>
      <w:tblGrid>
        <w:gridCol w:w="864"/>
        <w:gridCol w:w="757"/>
        <w:gridCol w:w="764"/>
        <w:gridCol w:w="504"/>
        <w:gridCol w:w="504"/>
        <w:gridCol w:w="506"/>
        <w:gridCol w:w="109"/>
        <w:gridCol w:w="109"/>
        <w:gridCol w:w="109"/>
        <w:gridCol w:w="198"/>
        <w:gridCol w:w="472"/>
        <w:gridCol w:w="111"/>
        <w:gridCol w:w="109"/>
        <w:gridCol w:w="109"/>
        <w:gridCol w:w="109"/>
        <w:gridCol w:w="196"/>
        <w:gridCol w:w="466"/>
        <w:gridCol w:w="109"/>
        <w:gridCol w:w="109"/>
        <w:gridCol w:w="109"/>
        <w:gridCol w:w="109"/>
        <w:gridCol w:w="196"/>
        <w:gridCol w:w="691"/>
        <w:gridCol w:w="109"/>
        <w:gridCol w:w="109"/>
        <w:gridCol w:w="109"/>
        <w:gridCol w:w="109"/>
        <w:gridCol w:w="196"/>
        <w:gridCol w:w="691"/>
        <w:gridCol w:w="154"/>
      </w:tblGrid>
      <w:t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w:t>
              <w:br/>
              <w:t>Value</w:t>
            </w:r>
          </w:p>
        </w:tc>
      </w:tr>
      <w:tr>
        <w:tc>
          <w:tcPr>
            <w:tcW w:w="238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Financed Tenant Improvements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measure certain long-lived assets, goodwill, non-amortizing intangible assets and investments at fair value on a non-recurring basis, at least annually or more frequently if impairment indicators are present. Our cost-basis investments are also subject to fair value remeasurements from observable market transactions. For more detail see Note 9.</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our initiative to rationalize lower margin business, we performed a review of the TravisMathew business including certain warehouse equipment and retail locations. As part of this review, we decided to exit certain retail locations which did not meet our profitability thresholds, resulting in impairment charges of $0.1 million and $1.9 million recorded during the three and nine months ended September 30, 2026, respectively. This assessment was based on the estimated future cash flows generated over the remaining lease terms and expected asset lives. As a result, we recognized impairment losses to reduce the carrying values of these assets to their fair values which are categorized within Level 3 of the fair value hierarchy. We recognized $1.5 million of the total impairment charges within selling, general and administrative expense and $0.4 million within cost of sales in our condensed consolidated statements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recognize any impairments related to continuing operations during the three and nine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15. Derivatives and Hedging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our derivative instruments as well as the location of the asset and/or liability on the condensed consolidated balance sheets as of the periods presented below (in millions):</w:t>
      </w:r>
    </w:p>
    <w:tbl>
      <w:tblPr>
        <w:tblW w:w="9772" w:type="dxa"/>
        <w:jc w:val="left"/>
        <w:tblInd w:w="0" w:type="dxa"/>
        <w:tblLayout w:type="fixed"/>
        <w:tblCellMar>
          <w:top w:w="28" w:type="dxa"/>
          <w:left w:w="28" w:type="dxa"/>
          <w:bottom w:w="28" w:type="dxa"/>
          <w:right w:w="28" w:type="dxa"/>
        </w:tblCellMar>
      </w:tblPr>
      <w:tblGrid>
        <w:gridCol w:w="1532"/>
        <w:gridCol w:w="1347"/>
        <w:gridCol w:w="1351"/>
        <w:gridCol w:w="599"/>
        <w:gridCol w:w="599"/>
        <w:gridCol w:w="601"/>
        <w:gridCol w:w="109"/>
        <w:gridCol w:w="109"/>
        <w:gridCol w:w="109"/>
        <w:gridCol w:w="443"/>
        <w:gridCol w:w="851"/>
        <w:gridCol w:w="250"/>
        <w:gridCol w:w="109"/>
        <w:gridCol w:w="109"/>
        <w:gridCol w:w="109"/>
        <w:gridCol w:w="417"/>
        <w:gridCol w:w="800"/>
        <w:gridCol w:w="328"/>
      </w:tblGrid>
      <w:t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c>
          <w:tcPr>
            <w:tcW w:w="42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of </w:t>
              <w:br/>
              <w:t>Asset Derivatives</w:t>
            </w:r>
          </w:p>
        </w:tc>
      </w:tr>
      <w:tr>
        <w:tc>
          <w:tcPr>
            <w:tcW w:w="4230" w:type="dxa"/>
            <w:gridSpan w:val="3"/>
            <w:vMerge w:val="continue"/>
            <w:tcBorders/>
            <w:tcMar>
              <w:top w:w="0" w:type="dxa"/>
              <w:left w:w="0" w:type="dxa"/>
              <w:bottom w:w="0" w:type="dxa"/>
              <w:right w:w="0" w:type="dxa"/>
            </w:tcMar>
            <w:vAlign w:val="center"/>
          </w:tcPr>
          <w:p>
            <w:pPr>
              <w:pStyle w:val="Normal"/>
              <w:bidi w:val="0"/>
              <w:jc w:val="left"/>
            </w:pPr>
            <w:r/>
          </w:p>
        </w:tc>
        <w:tc>
          <w:tcPr>
            <w:tcW w:w="179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60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22" w:type="dxa"/>
        <w:jc w:val="left"/>
        <w:tblInd w:w="0" w:type="dxa"/>
        <w:tblLayout w:type="fixed"/>
        <w:tblCellMar>
          <w:top w:w="28" w:type="dxa"/>
          <w:left w:w="28" w:type="dxa"/>
          <w:bottom w:w="28" w:type="dxa"/>
          <w:right w:w="28" w:type="dxa"/>
        </w:tblCellMar>
      </w:tblPr>
      <w:tblGrid>
        <w:gridCol w:w="951"/>
        <w:gridCol w:w="835"/>
        <w:gridCol w:w="839"/>
        <w:gridCol w:w="1184"/>
        <w:gridCol w:w="1184"/>
        <w:gridCol w:w="1186"/>
        <w:gridCol w:w="109"/>
        <w:gridCol w:w="109"/>
        <w:gridCol w:w="109"/>
        <w:gridCol w:w="443"/>
        <w:gridCol w:w="851"/>
        <w:gridCol w:w="250"/>
        <w:gridCol w:w="109"/>
        <w:gridCol w:w="109"/>
        <w:gridCol w:w="109"/>
        <w:gridCol w:w="417"/>
        <w:gridCol w:w="800"/>
        <w:gridCol w:w="328"/>
      </w:tblGrid>
      <w:t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c>
          <w:tcPr>
            <w:tcW w:w="262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of </w:t>
              <w:br/>
              <w:t>Liability Derivatives</w:t>
            </w:r>
          </w:p>
        </w:tc>
      </w:tr>
      <w:tr>
        <w:tc>
          <w:tcPr>
            <w:tcW w:w="2625" w:type="dxa"/>
            <w:gridSpan w:val="3"/>
            <w:vMerge w:val="continue"/>
            <w:tcBorders/>
            <w:tcMar>
              <w:top w:w="0" w:type="dxa"/>
              <w:left w:w="0" w:type="dxa"/>
              <w:bottom w:w="0" w:type="dxa"/>
              <w:right w:w="0" w:type="dxa"/>
            </w:tcMar>
            <w:vAlign w:val="center"/>
          </w:tcPr>
          <w:p>
            <w:pPr>
              <w:pStyle w:val="Normal"/>
              <w:bidi w:val="0"/>
              <w:jc w:val="left"/>
            </w:pPr>
            <w:r/>
          </w:p>
        </w:tc>
        <w:tc>
          <w:tcPr>
            <w:tcW w:w="35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61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61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61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liability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16610"/>
                <wp:effectExtent l="0" t="0" r="0" b="0"/>
                <wp:wrapNone/>
                <wp:docPr id="28" name="Frame2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derivative instruments are subject to a master netting agreement with each respective counterparty bank and are therefore net settled at their maturity date. Although we have the legal right of offset under the master netting agreements, we have elected not to present these contracts on a net settlement amount basis, and therefore present these contracts on a gross basis on the accompanying condensed consolidated balance sheets as of September 30, 2026 and December 31, 2025. Gains and losses related to our derivative instruments are presented as an adjustment to reconcile net income to net cash provided by or used in operating activities in the condensed consolidated statements of cash flows.</w:t>
      </w:r>
    </w:p>
    <w:p>
      <w:pPr>
        <w:pStyle w:val="TextBody"/>
        <w:bidi w:val="0"/>
        <w:spacing w:lineRule="auto" w:line="288" w:before="180" w:after="283"/>
        <w:ind w:left="0" w:right="0" w:firstLine="270"/>
        <w:jc w:val="both"/>
        <w:rPr>
          <w:rFonts w:ascii="Times New Roman;serif" w:hAnsi="Times New Roman;serif"/>
          <w:b/>
          <w:color w:val="000000"/>
          <w:sz w:val="20"/>
        </w:rPr>
      </w:pPr>
      <w:r>
        <w:rPr>
          <w:rFonts w:ascii="Times New Roman;serif" w:hAnsi="Times New Roman;serif"/>
          <w:b/>
          <w:color w:val="000000"/>
          <w:sz w:val="20"/>
        </w:rPr>
        <w:t>Derivatives Designated as Cash Flow Hedging Instruments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only use derivative instruments, including foreign currency forward contracts and interest rate swaps, to manage market risks related to foreign currency exposure across our global operations and exposure to variable</w:t>
        <w:noBreakHyphen/>
        <w:t>rate debt.</w:t>
      </w:r>
    </w:p>
    <w:p>
      <w:pPr>
        <w:pStyle w:val="TextBody"/>
        <w:bidi w:val="0"/>
        <w:spacing w:lineRule="auto" w:line="288" w:before="120" w:after="283"/>
        <w:ind w:left="0" w:right="0" w:firstLine="450"/>
        <w:jc w:val="both"/>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 xml:space="preserve">the notional amount of our foreign currency forward contracts designated as cash flow hedges was </w:t>
      </w:r>
      <w:r>
        <w:rPr>
          <w:rFonts w:ascii="Times New Roman;serif" w:hAnsi="Times New Roman;serif"/>
          <w:b w:val="false"/>
          <w:color w:val="000000"/>
          <w:sz w:val="20"/>
        </w:rPr>
        <w:t>$28.5 million</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no outstanding cash flow hedges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During the fourth quarter of 2025, we closed out our interest rate swaps in connection with an amendment to the 2023 Term Loan B. As of September 30, 2026, w</w:t>
      </w:r>
      <w:r>
        <w:rPr>
          <w:rFonts w:ascii="Times New Roman;serif" w:hAnsi="Times New Roman;serif"/>
          <w:b w:val="false"/>
          <w:color w:val="000000"/>
          <w:sz w:val="20"/>
          <w:shd w:fill="FFFFFF" w:val="clear"/>
        </w:rPr>
        <w:t>e did not have any outstanding interest rate swap agreements.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net effect of all cash flow hedges for each of our derivative contracts on the condensed consolidated financial statements for the periods presented (in millions):</w:t>
      </w:r>
    </w:p>
    <w:tbl>
      <w:tblPr>
        <w:tblW w:w="10187"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298"/>
        <w:gridCol w:w="687"/>
        <w:gridCol w:w="166"/>
        <w:gridCol w:w="166"/>
        <w:gridCol w:w="166"/>
        <w:gridCol w:w="166"/>
        <w:gridCol w:w="298"/>
        <w:gridCol w:w="572"/>
        <w:gridCol w:w="166"/>
        <w:gridCol w:w="123"/>
        <w:gridCol w:w="123"/>
        <w:gridCol w:w="123"/>
        <w:gridCol w:w="262"/>
        <w:gridCol w:w="603"/>
        <w:gridCol w:w="145"/>
        <w:gridCol w:w="145"/>
        <w:gridCol w:w="145"/>
        <w:gridCol w:w="145"/>
        <w:gridCol w:w="262"/>
        <w:gridCol w:w="724"/>
        <w:gridCol w:w="205"/>
      </w:tblGrid>
      <w:t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Net Gain/(Loss) Recognized in Other Comprehensive Income </w:t>
            </w:r>
          </w:p>
        </w:tc>
      </w:tr>
      <w:t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2"/>
        <w:gridCol w:w="872"/>
        <w:gridCol w:w="875"/>
        <w:gridCol w:w="109"/>
        <w:gridCol w:w="109"/>
        <w:gridCol w:w="109"/>
        <w:gridCol w:w="612"/>
        <w:gridCol w:w="612"/>
        <w:gridCol w:w="614"/>
        <w:gridCol w:w="109"/>
        <w:gridCol w:w="109"/>
        <w:gridCol w:w="109"/>
        <w:gridCol w:w="252"/>
        <w:gridCol w:w="484"/>
        <w:gridCol w:w="140"/>
        <w:gridCol w:w="140"/>
        <w:gridCol w:w="140"/>
        <w:gridCol w:w="140"/>
        <w:gridCol w:w="252"/>
        <w:gridCol w:w="554"/>
        <w:gridCol w:w="140"/>
        <w:gridCol w:w="136"/>
        <w:gridCol w:w="136"/>
        <w:gridCol w:w="136"/>
        <w:gridCol w:w="245"/>
        <w:gridCol w:w="539"/>
        <w:gridCol w:w="136"/>
        <w:gridCol w:w="136"/>
        <w:gridCol w:w="136"/>
        <w:gridCol w:w="136"/>
        <w:gridCol w:w="245"/>
        <w:gridCol w:w="545"/>
        <w:gridCol w:w="206"/>
      </w:tblGrid>
      <w:t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Gain/(Loss) Reclassified from Other Comprehensive Income into Earnings</w:t>
            </w:r>
          </w:p>
        </w:tc>
      </w:tr>
      <w:t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 and 2025, $0.4 million and $0.5 million, respectively, of net gains</w:t>
      </w:r>
      <w:r>
        <w:rPr>
          <w:color w:val="000000"/>
          <w:shd w:fill="FFFFFF" w:val="clear"/>
        </w:rPr>
        <w:t xml:space="preserve"> </w:t>
      </w:r>
      <w:r>
        <w:rPr>
          <w:rFonts w:ascii="Times New Roman;serif" w:hAnsi="Times New Roman;serif"/>
          <w:b w:val="false"/>
          <w:color w:val="000000"/>
          <w:sz w:val="20"/>
          <w:shd w:fill="FFFFFF" w:val="clear"/>
        </w:rPr>
        <w:t xml:space="preserve">related to the amortization of forward points were released from accumulated other comprehensive income and recognized in cost of sales. For both of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 and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$2.0 million of net gains</w:t>
      </w:r>
      <w:r>
        <w:rPr>
          <w:color w:val="000000"/>
          <w:shd w:fill="FFFFFF" w:val="clear"/>
        </w:rPr>
        <w:t xml:space="preserve"> </w:t>
      </w:r>
      <w:r>
        <w:rPr>
          <w:rFonts w:ascii="Times New Roman;serif" w:hAnsi="Times New Roman;serif"/>
          <w:b w:val="false"/>
          <w:color w:val="000000"/>
          <w:sz w:val="20"/>
          <w:shd w:fill="FFFFFF" w:val="clear"/>
        </w:rPr>
        <w:t>related to the amortization of forward points were released from accumulated other comprehensive income and recognized in cost of sales.</w:t>
      </w:r>
    </w:p>
    <w:p>
      <w:pPr>
        <w:pStyle w:val="TextBody"/>
        <w:bidi w:val="0"/>
        <w:spacing w:lineRule="auto" w:line="288" w:before="120" w:after="283"/>
        <w:ind w:left="0" w:right="0" w:firstLine="450"/>
        <w:jc w:val="both"/>
      </w:pPr>
      <w:r>
        <w:rPr>
          <w:rFonts w:ascii="Times New Roman;serif" w:hAnsi="Times New Roman;serif"/>
          <w:b w:val="false"/>
          <w:color w:val="000000"/>
          <w:sz w:val="20"/>
          <w:shd w:fill="FFFFFF" w:val="clear"/>
        </w:rPr>
        <w:t xml:space="preserve">Based on the current valuation of our foreign currency forward contracts, we expect to release net losses of </w:t>
      </w:r>
      <w:r>
        <w:rPr>
          <w:rFonts w:ascii="Times New Roman;serif" w:hAnsi="Times New Roman;serif"/>
          <w:b w:val="false"/>
          <w:color w:val="000000"/>
          <w:sz w:val="20"/>
        </w:rPr>
        <w:t>$0.6 million</w:t>
      </w:r>
      <w:r>
        <w:rPr>
          <w:color w:val="000000"/>
          <w:shd w:fill="FFFFFF" w:val="clear"/>
        </w:rPr>
        <w:t xml:space="preserve"> </w:t>
      </w:r>
      <w:r>
        <w:rPr>
          <w:rFonts w:ascii="Times New Roman;serif" w:hAnsi="Times New Roman;serif"/>
          <w:b w:val="false"/>
          <w:color w:val="000000"/>
          <w:sz w:val="20"/>
          <w:shd w:fill="FFFFFF" w:val="clear"/>
        </w:rPr>
        <w:t xml:space="preserve">related to our foreign currency forward contracts from accumulated other comprehensive income into earnings over the next 12 months. </w:t>
      </w:r>
    </w:p>
    <w:p>
      <w:pPr>
        <w:pStyle w:val="TextBody"/>
        <w:bidi w:val="0"/>
        <w:spacing w:lineRule="auto" w:line="288" w:before="120" w:after="283"/>
        <w:ind w:left="0" w:right="0" w:firstLine="270"/>
        <w:jc w:val="both"/>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and December 31, 2025, the notional amounts of our foreign currency forward contracts not designated as cash flow hedges were approximately $96.9 million and $88.4 million, respectively.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16610"/>
                <wp:effectExtent l="0" t="0" r="0" b="0"/>
                <wp:wrapNone/>
                <wp:docPr id="29" name="Frame2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location of net gains and losses on foreign currency forward contracts recognized in the condensed consolidated statements of operations for the periods presented (in millions):</w:t>
      </w:r>
    </w:p>
    <w:tbl>
      <w:tblPr>
        <w:tblW w:w="10205" w:type="dxa"/>
        <w:jc w:val="left"/>
        <w:tblInd w:w="0" w:type="dxa"/>
        <w:tblLayout w:type="fixed"/>
        <w:tblCellMar>
          <w:top w:w="28" w:type="dxa"/>
          <w:left w:w="28" w:type="dxa"/>
          <w:bottom w:w="28" w:type="dxa"/>
          <w:right w:w="28" w:type="dxa"/>
        </w:tblCellMar>
      </w:tblPr>
      <w:tblGrid>
        <w:gridCol w:w="947"/>
        <w:gridCol w:w="592"/>
        <w:gridCol w:w="594"/>
        <w:gridCol w:w="109"/>
        <w:gridCol w:w="109"/>
        <w:gridCol w:w="109"/>
        <w:gridCol w:w="989"/>
        <w:gridCol w:w="989"/>
        <w:gridCol w:w="991"/>
        <w:gridCol w:w="109"/>
        <w:gridCol w:w="109"/>
        <w:gridCol w:w="109"/>
        <w:gridCol w:w="229"/>
        <w:gridCol w:w="486"/>
        <w:gridCol w:w="127"/>
        <w:gridCol w:w="127"/>
        <w:gridCol w:w="127"/>
        <w:gridCol w:w="127"/>
        <w:gridCol w:w="229"/>
        <w:gridCol w:w="439"/>
        <w:gridCol w:w="127"/>
        <w:gridCol w:w="109"/>
        <w:gridCol w:w="109"/>
        <w:gridCol w:w="109"/>
        <w:gridCol w:w="220"/>
        <w:gridCol w:w="423"/>
        <w:gridCol w:w="122"/>
        <w:gridCol w:w="122"/>
        <w:gridCol w:w="122"/>
        <w:gridCol w:w="122"/>
        <w:gridCol w:w="220"/>
        <w:gridCol w:w="568"/>
        <w:gridCol w:w="185"/>
      </w:tblGrid>
      <w:tr>
        <w:tc>
          <w:tcPr>
            <w:tcW w:w="9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Net Gain/(Loss) Recognized in Income on Derivative Instruments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Gain/(Loss) Recognized in Income on </w:t>
              <w:br/>
              <w:t>Derivative Instruments</w:t>
            </w:r>
          </w:p>
        </w:tc>
      </w:tr>
      <w:tr>
        <w:tc>
          <w:tcPr>
            <w:tcW w:w="21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20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133"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both"/>
      </w:pPr>
      <w:r>
        <w:rPr>
          <w:rFonts w:ascii="Times New Roman;serif" w:hAnsi="Times New Roman;serif"/>
          <w:b w:val="false"/>
          <w:color w:val="000000"/>
          <w:sz w:val="20"/>
        </w:rPr>
        <w:t>During the three months ended September 30, 2026 and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recognized net foreign currency transactio</w:t>
      </w:r>
      <w:r>
        <w:rPr>
          <w:rFonts w:ascii="Times New Roman;serif" w:hAnsi="Times New Roman;serif"/>
          <w:b w:val="false"/>
          <w:color w:val="000000"/>
          <w:sz w:val="20"/>
          <w:shd w:fill="FFFFFF" w:val="clear"/>
        </w:rPr>
        <w:t xml:space="preserve">n losses of </w:t>
      </w:r>
      <w:r>
        <w:rPr>
          <w:rFonts w:ascii="Times New Roman;serif" w:hAnsi="Times New Roman;serif"/>
          <w:b w:val="false"/>
          <w:color w:val="000000"/>
          <w:sz w:val="20"/>
        </w:rPr>
        <w:t>$4.2 million and gains of $3.6 million, respectively, in other income (expense), net. During the nine months ended September 30, 2026 and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recognized net foreign currency transactio</w:t>
      </w:r>
      <w:r>
        <w:rPr>
          <w:rFonts w:ascii="Times New Roman;serif" w:hAnsi="Times New Roman;serif"/>
          <w:b w:val="false"/>
          <w:color w:val="000000"/>
          <w:sz w:val="20"/>
          <w:shd w:fill="FFFFFF" w:val="clear"/>
        </w:rPr>
        <w:t xml:space="preserve">n losses of </w:t>
      </w:r>
      <w:r>
        <w:rPr>
          <w:rFonts w:ascii="Times New Roman;serif" w:hAnsi="Times New Roman;serif"/>
          <w:b w:val="false"/>
          <w:color w:val="000000"/>
          <w:sz w:val="20"/>
        </w:rPr>
        <w:t xml:space="preserve">$1.6 million and gains of $19.7 million, respectively, in other income (expense),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16. Accumulated Other Comprehensive Loss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amounts reclassified from accumulated other comprehensive loss and foreign currency translation adjustments for the three and nine months ended September 30, 2026 (in millions):</w:t>
      </w:r>
    </w:p>
    <w:tbl>
      <w:tblPr>
        <w:tblW w:w="10205" w:type="dxa"/>
        <w:jc w:val="left"/>
        <w:tblInd w:w="0" w:type="dxa"/>
        <w:tblLayout w:type="fixed"/>
        <w:tblCellMar>
          <w:top w:w="28" w:type="dxa"/>
          <w:left w:w="28" w:type="dxa"/>
          <w:bottom w:w="28" w:type="dxa"/>
          <w:right w:w="28" w:type="dxa"/>
        </w:tblCellMar>
      </w:tblPr>
      <w:tblGrid>
        <w:gridCol w:w="1734"/>
        <w:gridCol w:w="1520"/>
        <w:gridCol w:w="1527"/>
        <w:gridCol w:w="109"/>
        <w:gridCol w:w="109"/>
        <w:gridCol w:w="109"/>
        <w:gridCol w:w="454"/>
        <w:gridCol w:w="872"/>
        <w:gridCol w:w="254"/>
        <w:gridCol w:w="109"/>
        <w:gridCol w:w="109"/>
        <w:gridCol w:w="109"/>
        <w:gridCol w:w="492"/>
        <w:gridCol w:w="1211"/>
        <w:gridCol w:w="278"/>
        <w:gridCol w:w="109"/>
        <w:gridCol w:w="109"/>
        <w:gridCol w:w="109"/>
        <w:gridCol w:w="196"/>
        <w:gridCol w:w="527"/>
        <w:gridCol w:w="159"/>
      </w:tblGrid>
      <w:tr>
        <w:tc>
          <w:tcPr>
            <w:tcW w:w="173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4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4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 June 30, 2026,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reclassified to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impact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c>
          <w:tcPr>
            <w:tcW w:w="4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attributable to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(loss), September 30, 2026, after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78"/>
        <w:gridCol w:w="1559"/>
        <w:gridCol w:w="1568"/>
        <w:gridCol w:w="109"/>
        <w:gridCol w:w="109"/>
        <w:gridCol w:w="109"/>
        <w:gridCol w:w="441"/>
        <w:gridCol w:w="847"/>
        <w:gridCol w:w="247"/>
        <w:gridCol w:w="109"/>
        <w:gridCol w:w="109"/>
        <w:gridCol w:w="109"/>
        <w:gridCol w:w="473"/>
        <w:gridCol w:w="1165"/>
        <w:gridCol w:w="267"/>
        <w:gridCol w:w="109"/>
        <w:gridCol w:w="109"/>
        <w:gridCol w:w="109"/>
        <w:gridCol w:w="196"/>
        <w:gridCol w:w="523"/>
        <w:gridCol w:w="160"/>
      </w:tblGrid>
      <w:tr>
        <w:tc>
          <w:tcPr>
            <w:tcW w:w="177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 December 31, 2025,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reclassified to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foreign currency translation adjustments recognized upon the sale of Topgolf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attributable to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income (loss), September 30, 2026, after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17.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operating segments are based on how our Chief Executive Officer as the designated Chief Operating Decision Maker (“CODM”) makes decisions about assessing performance and allocating resources. Our CODM primarily evaluates segment performance using segment operating income (loss), which is calculated by taking total segment net sales less segment operating expenses. Segment operating expenses include operating expenses directly attributable to the segment as well as certain shared corporate administration services and other costs which are allocated to the reportable segments. Segment operating expenses exclude certain non-recurring items and other corporate costs, such as interest expense, interest income and taxes. Our CODM evaluates the profitability of each reportable segment based on segment operating income (loss) because it provides insight to operational leverage and other key operational metrics for each segment. Segment operating income (loss) is also used in the annual budget and forecasting process, and budget-to-actual and forecast-to-actual variances are considered when determining the appropriate allocation of company resources to each of our segments. Our CODM does not evaluate a measure of assets when assessing segment performance.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16610"/>
                <wp:effectExtent l="0" t="0" r="0" b="0"/>
                <wp:wrapNone/>
                <wp:docPr id="30" name="Frame3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two operating and reportable segments:</w:t>
      </w:r>
    </w:p>
    <w:p>
      <w:pPr>
        <w:pStyle w:val="TextBody"/>
        <w:bidi w:val="0"/>
        <w:spacing w:lineRule="auto" w:line="288" w:before="120" w:after="283"/>
        <w:ind w:left="0" w:right="0" w:hanging="360"/>
        <w:jc w:val="both"/>
      </w:pPr>
      <w:r>
        <w:rPr>
          <w:color w:val="000000"/>
          <w:shd w:fill="FFFFFF" w:val="clear"/>
        </w:rPr>
        <w:t>•</w:t>
      </w:r>
      <w:r>
        <w:rPr>
          <w:rFonts w:ascii="Times New Roman;serif" w:hAnsi="Times New Roman;serif"/>
          <w:b w:val="false"/>
          <w:color w:val="000000"/>
          <w:sz w:val="20"/>
        </w:rPr>
        <w:t>Golf Equipment, which is comprised of product sales and expenses that encompass golf club and golf ball products, including Callaway Golf-branded woods, hybrids, irons, wedges, Odyssey putters, packaged sets, Callaway Golf-branded golf balls and sales of pre-owned golf clubs; and</w:t>
      </w:r>
    </w:p>
    <w:p>
      <w:pPr>
        <w:pStyle w:val="TextBody"/>
        <w:bidi w:val="0"/>
        <w:spacing w:lineRule="auto" w:line="288" w:before="120" w:after="283"/>
        <w:ind w:left="0" w:right="0" w:hanging="360"/>
        <w:jc w:val="both"/>
      </w:pPr>
      <w:r>
        <w:rPr>
          <w:color w:val="000000"/>
          <w:shd w:fill="FFFFFF" w:val="clear"/>
        </w:rPr>
        <w:t>•</w:t>
      </w:r>
      <w:r>
        <w:rPr>
          <w:rFonts w:ascii="Times New Roman;serif" w:hAnsi="Times New Roman;serif"/>
          <w:b w:val="false"/>
          <w:color w:val="000000"/>
          <w:sz w:val="20"/>
        </w:rPr>
        <w:t>Apparel, Gear and Other</w:t>
      </w:r>
      <w:r>
        <w:rPr>
          <w:rFonts w:ascii="Times New Roman;serif" w:hAnsi="Times New Roman;serif"/>
          <w:b w:val="false"/>
          <w:color w:val="000000"/>
          <w:sz w:val="20"/>
          <w:shd w:fill="FFFFFF" w:val="clear"/>
        </w:rPr>
        <w:t>, which is comprised of product sales and expenses for the TravisMathew golf and lifestyle apparel and accessories business, the Callaway soft goods business and the OGIO business, which consists of golf apparel and accessories (including golf bags), and storage gear for sport and personal use. This segment also includes royalties from licensing of our trademarks and service marks for various soft goods products.</w:t>
      </w:r>
    </w:p>
    <w:p>
      <w:pPr>
        <w:pStyle w:val="TextBody"/>
        <w:bidi w:val="0"/>
        <w:spacing w:lineRule="auto" w:line="288" w:before="120" w:after="283"/>
        <w:ind w:left="0" w:right="0" w:firstLine="450"/>
        <w:jc w:val="both"/>
      </w:pPr>
      <w:r>
        <w:rPr>
          <w:rFonts w:ascii="Times New Roman;serif" w:hAnsi="Times New Roman;serif"/>
          <w:b w:val="false"/>
          <w:color w:val="000000"/>
          <w:sz w:val="20"/>
        </w:rPr>
        <w:t>There were no sign</w:t>
      </w:r>
      <w:r>
        <w:rPr>
          <w:rFonts w:ascii="Times New Roman;serif" w:hAnsi="Times New Roman;serif"/>
          <w:b w:val="false"/>
          <w:color w:val="000000"/>
          <w:sz w:val="20"/>
          <w:shd w:fill="FFFFFF" w:val="clear"/>
        </w:rPr>
        <w:t xml:space="preserve">ificant intersegment transactions during the </w:t>
      </w:r>
      <w:r>
        <w:rPr>
          <w:rFonts w:ascii="Times New Roman;serif" w:hAnsi="Times New Roman;serif"/>
          <w:b w:val="false"/>
          <w:color w:val="000000"/>
          <w:sz w:val="20"/>
        </w:rPr>
        <w:t>three and nine months ended September 30, 2026 or 2025.</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utilized by our CODM to evaluate our operating segments for the periods presented below (in millions):</w:t>
      </w:r>
    </w:p>
    <w:tbl>
      <w:tblPr>
        <w:tblW w:w="10205" w:type="dxa"/>
        <w:jc w:val="left"/>
        <w:tblInd w:w="0" w:type="dxa"/>
        <w:tblLayout w:type="fixed"/>
        <w:tblCellMar>
          <w:top w:w="28" w:type="dxa"/>
          <w:left w:w="28" w:type="dxa"/>
          <w:bottom w:w="28" w:type="dxa"/>
          <w:right w:w="28" w:type="dxa"/>
        </w:tblCellMar>
      </w:tblPr>
      <w:tblGrid>
        <w:gridCol w:w="1291"/>
        <w:gridCol w:w="1024"/>
        <w:gridCol w:w="1031"/>
        <w:gridCol w:w="295"/>
        <w:gridCol w:w="839"/>
        <w:gridCol w:w="164"/>
        <w:gridCol w:w="164"/>
        <w:gridCol w:w="164"/>
        <w:gridCol w:w="164"/>
        <w:gridCol w:w="295"/>
        <w:gridCol w:w="839"/>
        <w:gridCol w:w="164"/>
        <w:gridCol w:w="146"/>
        <w:gridCol w:w="146"/>
        <w:gridCol w:w="146"/>
        <w:gridCol w:w="275"/>
        <w:gridCol w:w="972"/>
        <w:gridCol w:w="153"/>
        <w:gridCol w:w="153"/>
        <w:gridCol w:w="153"/>
        <w:gridCol w:w="153"/>
        <w:gridCol w:w="275"/>
        <w:gridCol w:w="972"/>
        <w:gridCol w:w="227"/>
      </w:tblGrid>
      <w:tr>
        <w:tc>
          <w:tcPr>
            <w:tcW w:w="129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Golf Equipment:</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Cost of sales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Selling, general and administrative expense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Research and development expense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Apparel, Gear and Other:</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Cost of sales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Selling, general and administrative expense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Research and development expense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 (loss) from continuing operations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Reconciling items:</w:t>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Non-recurring items</w:t>
            </w:r>
            <w:r>
              <w:rPr>
                <w:color w:val="000000"/>
              </w:rPr>
              <w:t xml:space="preserve"> </w:t>
            </w:r>
            <w:r>
              <w:rPr>
                <w:rFonts w:ascii="Times New Roman;serif" w:hAnsi="Times New Roman;serif"/>
                <w:b w:val="false"/>
                <w:color w:val="000000"/>
                <w:sz w:val="12"/>
              </w:rPr>
              <w:t>(1)</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Corporate costs and expenses </w:t>
            </w:r>
            <w:r>
              <w:rPr>
                <w:rFonts w:ascii="Times New Roman;serif" w:hAnsi="Times New Roman;serif"/>
                <w:b w:val="false"/>
                <w:color w:val="000000"/>
                <w:sz w:val="12"/>
              </w:rPr>
              <w:t>(2)</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reconciling items: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method investments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40"/>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non-cash amortization of acquired intangible assets and non-recurring items primarily consisting of tariff refunds, costs related to a relocation to a new warehouse in the United Kingdom as a result of the sale of the Jack Wolfskin business, restructuring and reorganization charges relating to the Transformation Plan (see Note 18), and the write-off of software assets stemming from our separation from Topgolf.</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40"/>
              <w:ind w:left="0" w:right="0" w:hanging="180"/>
              <w:jc w:val="both"/>
            </w:pPr>
            <w:r>
              <w:rPr>
                <w:rFonts w:ascii="Times New Roman;serif" w:hAnsi="Times New Roman;serif"/>
                <w:b w:val="false"/>
                <w:color w:val="000000"/>
                <w:sz w:val="10"/>
              </w:rPr>
              <w:t xml:space="preserve">(2) </w:t>
            </w:r>
            <w:r>
              <w:rPr>
                <w:rFonts w:ascii="Times New Roman;serif" w:hAnsi="Times New Roman;serif"/>
                <w:b w:val="false"/>
                <w:color w:val="000000"/>
                <w:sz w:val="16"/>
              </w:rPr>
              <w:t>Corporate costs and expenses include corporate general and administrative expenses not utilized by management in determining segment profitability as well as adjustments for discontinued operations related to indirect costs that were previously allocated to a segment.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16610"/>
                <wp:effectExtent l="0" t="0" r="0" b="0"/>
                <wp:wrapNone/>
                <wp:docPr id="31" name="Frame3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tbl>
      <w:tblPr>
        <w:tblW w:w="8240" w:type="dxa"/>
        <w:jc w:val="left"/>
        <w:tblInd w:w="0" w:type="dxa"/>
        <w:tblLayout w:type="fixed"/>
        <w:tblCellMar>
          <w:top w:w="28" w:type="dxa"/>
          <w:left w:w="28" w:type="dxa"/>
          <w:bottom w:w="28" w:type="dxa"/>
          <w:right w:w="28" w:type="dxa"/>
        </w:tblCellMar>
      </w:tblPr>
      <w:tblGrid>
        <w:gridCol w:w="940"/>
        <w:gridCol w:w="826"/>
        <w:gridCol w:w="829"/>
        <w:gridCol w:w="281"/>
        <w:gridCol w:w="669"/>
        <w:gridCol w:w="156"/>
        <w:gridCol w:w="156"/>
        <w:gridCol w:w="156"/>
        <w:gridCol w:w="156"/>
        <w:gridCol w:w="281"/>
        <w:gridCol w:w="669"/>
        <w:gridCol w:w="156"/>
        <w:gridCol w:w="109"/>
        <w:gridCol w:w="109"/>
        <w:gridCol w:w="109"/>
        <w:gridCol w:w="270"/>
        <w:gridCol w:w="643"/>
        <w:gridCol w:w="150"/>
        <w:gridCol w:w="150"/>
        <w:gridCol w:w="150"/>
        <w:gridCol w:w="150"/>
        <w:gridCol w:w="270"/>
        <w:gridCol w:w="643"/>
        <w:gridCol w:w="212"/>
      </w:tblGrid>
      <w:t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our products in the United States and internationally, with our principal international markets being Asia and Europe. The tables below contain information about the geographical areas in which we operate. Net sales are attributed to the location to which the product was shipped. Long-lived assets are based on location of domicile.</w:t>
      </w:r>
    </w:p>
    <w:tbl>
      <w:tblPr>
        <w:tblW w:w="6763" w:type="dxa"/>
        <w:jc w:val="left"/>
        <w:tblInd w:w="0" w:type="dxa"/>
        <w:tblLayout w:type="fixed"/>
        <w:tblCellMar>
          <w:top w:w="28" w:type="dxa"/>
          <w:left w:w="28" w:type="dxa"/>
          <w:bottom w:w="28" w:type="dxa"/>
          <w:right w:w="28" w:type="dxa"/>
        </w:tblCellMar>
      </w:tblPr>
      <w:tblGrid>
        <w:gridCol w:w="407"/>
        <w:gridCol w:w="358"/>
        <w:gridCol w:w="359"/>
        <w:gridCol w:w="256"/>
        <w:gridCol w:w="728"/>
        <w:gridCol w:w="142"/>
        <w:gridCol w:w="142"/>
        <w:gridCol w:w="142"/>
        <w:gridCol w:w="142"/>
        <w:gridCol w:w="256"/>
        <w:gridCol w:w="728"/>
        <w:gridCol w:w="142"/>
        <w:gridCol w:w="109"/>
        <w:gridCol w:w="109"/>
        <w:gridCol w:w="109"/>
        <w:gridCol w:w="218"/>
        <w:gridCol w:w="771"/>
        <w:gridCol w:w="121"/>
        <w:gridCol w:w="121"/>
        <w:gridCol w:w="121"/>
        <w:gridCol w:w="121"/>
        <w:gridCol w:w="218"/>
        <w:gridCol w:w="771"/>
        <w:gridCol w:w="172"/>
      </w:tblGrid>
      <w:t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18"/>
              </w:rPr>
              <w:t>(</w:t>
            </w:r>
            <w:r>
              <w:rPr>
                <w:rFonts w:ascii="Times New Roman;serif" w:hAnsi="Times New Roman;serif"/>
                <w:b w:val="false"/>
                <w:i/>
                <w:color w:val="000000"/>
                <w:sz w:val="18"/>
              </w:rPr>
              <w:t>in millions)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12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4" w:type="dxa"/>
            <w:gridSpan w:val="9"/>
            <w:tcBorders/>
          </w:tcPr>
          <w:p>
            <w:pPr>
              <w:pStyle w:val="TableContents"/>
              <w:bidi w:val="0"/>
              <w:spacing w:before="0" w:after="283"/>
              <w:jc w:val="left"/>
              <w:rPr>
                <w:sz w:val="4"/>
                <w:szCs w:val="4"/>
              </w:rPr>
            </w:pPr>
            <w:r>
              <w:rPr>
                <w:sz w:val="4"/>
                <w:szCs w:val="4"/>
              </w:rPr>
            </w:r>
          </w:p>
        </w:tc>
      </w:tr>
    </w:tbl>
    <w:tbl>
      <w:tblPr>
        <w:tblW w:w="5126" w:type="dxa"/>
        <w:jc w:val="left"/>
        <w:tblInd w:w="0" w:type="dxa"/>
        <w:tblLayout w:type="fixed"/>
        <w:tblCellMar>
          <w:top w:w="28" w:type="dxa"/>
          <w:left w:w="28" w:type="dxa"/>
          <w:bottom w:w="28" w:type="dxa"/>
          <w:right w:w="28" w:type="dxa"/>
        </w:tblCellMar>
      </w:tblPr>
      <w:tblGrid>
        <w:gridCol w:w="618"/>
        <w:gridCol w:w="544"/>
        <w:gridCol w:w="548"/>
        <w:gridCol w:w="351"/>
        <w:gridCol w:w="997"/>
        <w:gridCol w:w="197"/>
        <w:gridCol w:w="109"/>
        <w:gridCol w:w="109"/>
        <w:gridCol w:w="109"/>
        <w:gridCol w:w="334"/>
        <w:gridCol w:w="948"/>
        <w:gridCol w:w="262"/>
      </w:tblGrid>
      <w:t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Long-lived 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18. Restructuring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restructuring costs primarily consist of severance and termination benefits, asset disposals, write-offs and impairments and other exit and disposal costs. Severance costs generally include severance payments, outplacement services, health insurance coverage and legal costs.</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Transformation Plan</w:t>
      </w:r>
    </w:p>
    <w:p>
      <w:pPr>
        <w:pStyle w:val="TextBody"/>
        <w:bidi w:val="0"/>
        <w:spacing w:lineRule="auto" w:line="288" w:before="120" w:after="283"/>
        <w:ind w:left="0" w:right="0" w:firstLine="720"/>
        <w:jc w:val="both"/>
      </w:pPr>
      <w:r>
        <w:rPr>
          <w:rFonts w:ascii="Times New Roman;serif" w:hAnsi="Times New Roman;serif"/>
          <w:b w:val="false"/>
          <w:color w:val="000000"/>
          <w:sz w:val="20"/>
          <w:shd w:fill="FFFFFF" w:val="clear"/>
        </w:rPr>
        <w:t>In connection with the September 2024 announcement of our intended separation of the Topgolf business, we initiated a plan which is intended to optimize organizational efficiencies and decrease operating costs under the separate business structur</w:t>
      </w:r>
      <w:r>
        <w:rPr>
          <w:rFonts w:ascii="Times New Roman;serif" w:hAnsi="Times New Roman;serif"/>
          <w:b w:val="false"/>
          <w:color w:val="000000"/>
          <w:sz w:val="20"/>
        </w:rPr>
        <w:t>es that were anticipated after the separation (the “Transformation Plan”)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For the three and nine months ended September 30, 2026, costs incurred under the Transformation Plan were primarily related to employee termination and severance costs. We expect to incur up to $8.0 million in costs related to the Transformation Plan, which we expect to be substantially complete by the end of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As of September 30, 2026, we incurred cumulative costs of $6.2 million under this plan.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2026 and 2025, we incurred $0.5 million and $0.2 million, respectively, of employee termination and severance costs under the Transformation Plan. For the nine months ended September 30, 2026 and 2025, we incurred $1.9 million and $1.3 million, respectively, of employee termination and severance costs under the Transformation Plan. Amounts payable for employee termination and severance included in accrued employee compensation and benefits on the condensed consolidated balance sheets at September 30, 2026 and December 31, 2025, totaled $0.5 million and $0.2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16610"/>
                <wp:effectExtent l="0" t="0" r="0" b="0"/>
                <wp:wrapNone/>
                <wp:docPr id="32" name="Frame3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jc w:val="both"/>
      </w:pPr>
      <w:r>
        <w:rPr>
          <w:rFonts w:ascii="Times New Roman;serif" w:hAnsi="Times New Roman;serif"/>
          <w:b/>
          <w:color w:val="000000"/>
          <w:sz w:val="20"/>
          <w:shd w:fill="FFFFFF" w:val="clear"/>
        </w:rPr>
        <w:t xml:space="preserve">Item 2. </w:t>
      </w:r>
      <w:r>
        <w:rPr>
          <w:rFonts w:ascii="Times New Roman;serif" w:hAnsi="Times New Roman;serif"/>
          <w:b/>
          <w:i/>
          <w:color w:val="000000"/>
          <w:sz w:val="20"/>
          <w:shd w:fill="FFFFFF" w:val="clear"/>
        </w:rPr>
        <w:t>Management’s Discussion and Analysis of Financial Condition and Results of Operations</w:t>
      </w:r>
    </w:p>
    <w:p>
      <w:pPr>
        <w:pStyle w:val="TextBody"/>
        <w:bidi w:val="0"/>
        <w:spacing w:lineRule="auto" w:line="288" w:before="120" w:after="283"/>
        <w:ind w:left="0" w:right="0" w:firstLine="495"/>
        <w:jc w:val="both"/>
      </w:pPr>
      <w:r>
        <w:rPr>
          <w:rFonts w:ascii="Times New Roman;serif" w:hAnsi="Times New Roman;serif"/>
          <w:b w:val="false"/>
          <w:i/>
          <w:color w:val="000000"/>
          <w:sz w:val="20"/>
          <w:shd w:fill="FFFFFF" w:val="clear"/>
        </w:rPr>
        <w:t>The following discussion should be read in conjunction with the condensed consolidated financial statements and related notes that appear elsewhere in this report, and the consolidated financial statements and notes thereto included in our Annual Report on Form 10-K for the year ended December 31, 2025, which was filed with the SEC on February 27, 2026. Interim operating results are not indicative of operating results that may be expected for the year ending December 31, 2026, or any other future periods. See “Important Notice to Investors Regarding Forward-Looking Statements” on page 2 of this report. References to the “Company,” “</w:t>
      </w:r>
      <w:r>
        <w:rPr>
          <w:rFonts w:ascii="Times New Roman;serif" w:hAnsi="Times New Roman;serif"/>
          <w:b w:val="false"/>
          <w:i/>
          <w:color w:val="000000"/>
          <w:sz w:val="20"/>
        </w:rPr>
        <w:t>Callaway Golf Company,</w:t>
      </w:r>
      <w:r>
        <w:rPr>
          <w:color w:val="000000"/>
          <w:shd w:fill="FFFFFF" w:val="clear"/>
        </w:rPr>
        <w:t>” “</w:t>
      </w:r>
      <w:r>
        <w:rPr>
          <w:rFonts w:ascii="Times New Roman;serif" w:hAnsi="Times New Roman;serif"/>
          <w:b w:val="false"/>
          <w:i/>
          <w:color w:val="000000"/>
          <w:sz w:val="20"/>
          <w:shd w:fill="FFFFFF" w:val="clear"/>
        </w:rPr>
        <w:t>we,” “our,” or “us” in this report refe</w:t>
      </w:r>
      <w:r>
        <w:rPr>
          <w:rFonts w:ascii="Times New Roman;serif" w:hAnsi="Times New Roman;serif"/>
          <w:b w:val="false"/>
          <w:i/>
          <w:color w:val="000000"/>
          <w:sz w:val="20"/>
        </w:rPr>
        <w:t>r to Callaway Golf Company, togeth</w:t>
      </w:r>
      <w:r>
        <w:rPr>
          <w:rFonts w:ascii="Times New Roman;serif" w:hAnsi="Times New Roman;serif"/>
          <w:b w:val="false"/>
          <w:i/>
          <w:color w:val="000000"/>
          <w:sz w:val="20"/>
          <w:shd w:fill="FFFFFF" w:val="clear"/>
        </w:rPr>
        <w:t>er with our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Divestitures of Topgolf and Jack Wolfskin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2025, we executed a strategic realignment to focus on our core Golf Equipment and complementary soft goods businesses, which included the sale of Jack Wolfskin on May 31, 2025, for approximately $290.0 million and the sale of a 60% stake in our Topgolf and Toptracer business (“Topgolf”) based upon an equity value of approximately $1,100.0 million. The Topgolf transaction closed effective January 1, 2026, resulting in net proceeds to us of $820.1 million from the sale and related financing transactions, net of working capital adjustments and cash retained. Our remaining 39.3% interest in Topgolf (following the sale by Topgolf of additional dilutive units in April 2026, which decreased our non-controlling interest) is accounted for under the equity method.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these divestitures, the operating results of Jack Wolfskin and Topgolf are classified as discontinued operations for all periods presented, while our proportionate share of earnings and losses related to our remaining equity method investment in Topgolf is included in continuing operations. For more information, please refer to Note 3 of this Form 10-Q or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Discussion of Non-GAAP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results contained in this report, which have been prepared and presented in accordance with accounting principles generally accepted in the United States of America (“GAAP”), we have also included supplemental information concerning our financial results on a non-GAAP basis. This non-GAAP information includes the following:</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A constant currency measure on net sales in order to demonstrate the impact of foreign currency fluctuations on these results. This information represents an estimate for comparative purposes and is calculated by taking current period local currency results and translating them into U.S. dollars based on the foreign currency exchange rates for the applicable comparable prior period.</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Net income and diluted earnings per share from continuing operations excluding the non-cash amortization associated with acquired intangible assets, including acquired customer and distributor relationships and acquired developed technology related to our acquisitions of TravisMathew and OGIO (collectively, the “Acquisitions”). While the amortization of these assets is excluded from our calculation of non-GAAP net income, the revenue, operating costs and associated acquired assets that contribute to the revenue generation associated with these acquired companies is reflected in our calculation of non-GAAP net income from continuing operations.</w:t>
      </w:r>
    </w:p>
    <w:p>
      <w:pPr>
        <w:pStyle w:val="TextBody"/>
        <w:bidi w:val="0"/>
        <w:spacing w:lineRule="auto" w:line="288" w:before="120" w:after="283"/>
        <w:ind w:left="0" w:right="0" w:hanging="360"/>
        <w:jc w:val="both"/>
      </w:pPr>
      <w:r>
        <w:rPr>
          <w:color w:val="000000"/>
        </w:rPr>
        <w:t>•</w:t>
      </w:r>
      <w:r>
        <w:rPr>
          <w:rFonts w:ascii="Times New Roman;serif" w:hAnsi="Times New Roman;serif"/>
          <w:b w:val="false"/>
          <w:color w:val="000000"/>
          <w:sz w:val="20"/>
        </w:rPr>
        <w:t>Net income and diluted earnings per share from continuing operations excluding certain non-cash and non-recurring items, as further detailed below, as well as the income (loss) from our equity method investment in Topgolf. In addition, for periods presented for fiscal year 2025, net income and diluted earnings per share from continuing operations were adjusted to include interest expense associated with term loan debt that was recognized as part of discontinued operations in order to show the full effect of consolidated interest expense from our corporate debt.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16610"/>
                <wp:effectExtent l="0" t="0" r="0" b="0"/>
                <wp:wrapNone/>
                <wp:docPr id="33" name="Frame3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included information in this report to reconcile non-GAAP information for the periods presented to the most directly comparable GAAP information. Non-GAAP information in this report should not be considered in isolation or as a substitute for any measure derived in accordance with GAAP and may also be inconsistent with the manner in which similar measures are derived or used by other companies. We use such non-GAAP information for financial and operational decision-making purposes and as a means to evaluate the underlying performance of our business and/or in forecasting our business. We believe that the presentation of such non-GAAP information, when considered in conjunction with the most directly comparable GAAP information, provides additional useful information for investors in their assessment of the underlying performance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Segment and Related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and brands are reported under two operating segments: Golf Equipment, which includes the operations of our golf clubs and golf balls business; and Apparel, Gear and Other, which includes the operations of our soft goods business marketed under the Callaway, TravisMathew and OGIO brand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270"/>
        <w:jc w:val="both"/>
        <w:rPr>
          <w:rFonts w:ascii="Times New Roman;serif" w:hAnsi="Times New Roman;serif"/>
          <w:b/>
          <w:color w:val="000000"/>
          <w:sz w:val="20"/>
        </w:rPr>
      </w:pPr>
      <w:r>
        <w:rPr>
          <w:rFonts w:ascii="Times New Roman;serif" w:hAnsi="Times New Roman;serif"/>
          <w:b/>
          <w:color w:val="000000"/>
          <w:sz w:val="20"/>
        </w:rPr>
        <w:t>Golf Equipment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Golf Equipment operating segment is comprised of Callaway Golf-branded woods, hybrids, irons, wedges, Odyssey putters, packaged sets, and Callaway Golf branded golf balls, as well as sales of pre-owned golf clubs. Our golf equipment products are designed to be technologically advanced and are for golfers of all skill levels, from beginner to professional.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results for our Golf Equipment segment fluctuate due to seasonal factors, as the game of golf is primarily played on a seasonal basis in most of the regions where we conduct business. Weather conditions in most parts of the world, including our primary geographic markets, generally restrict golf from being played throughout the entire year, with many of our on-course customers closing during the cold weather months. Operating results are also impacted by the timing of our product launches. In general, we launch new products for the new golf season during the first quarter of the year. This initial sell-in period typically continues into the second quarter, while third-quarter sales are generally dependent on reorders and may also include smaller new product launches. Fourth-quarter sales are generally less than the other quarters due to the end of the golf season in many of our key regions. In addition to this seasonality, our Golf Equipment sales may also be impacted by other factors, including the timing of new product introductions. As a result of these factors, a majority of our Golf Equipment sales, and most, if not all, of the profitability from our Golf Equipment operating segment generally occurs during the first half of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270"/>
        <w:jc w:val="both"/>
        <w:rPr>
          <w:rFonts w:ascii="Times New Roman;serif" w:hAnsi="Times New Roman;serif"/>
          <w:b/>
          <w:color w:val="000000"/>
          <w:sz w:val="20"/>
        </w:rPr>
      </w:pPr>
      <w:r>
        <w:rPr>
          <w:rFonts w:ascii="Times New Roman;serif" w:hAnsi="Times New Roman;serif"/>
          <w:b/>
          <w:color w:val="000000"/>
          <w:sz w:val="20"/>
        </w:rPr>
        <w:t>Apparel, Gear and Other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Apparel, Gear and Other segment is comprised of high quality soft good products which we design, develop and sell under the Callaway, TravisMathew and OGIO brands. These brands deliver a range of premium performance and lifestyle products in the United States and select international markets. We are focused on maintaining strong brand momentum by category and market share growth with key trade partners by enhancing our digital marketing, e-commerce and retail store presence, which we believe will increase direct-to-consumer sales and drive increased profitability over time.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of Callaway</w:t>
        <w:noBreakHyphen/>
        <w:t>branded golf apparel and accessories generally follow the same seasonal patterns as golf equipment and are therefore typically higher during the first half of the year. Sales of TravisMathew and OGIO branded products, which include golf and lifestyle apparel, accessories, and performance products, are more diversified and therefore are more evenly distributed throughout the year due to broader product offerings and a greater mix of direct</w:t>
        <w:noBreakHyphen/>
        <w:t>to</w:t>
        <w:noBreakHyphen/>
        <w:t>consumer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about our segments, see Note 17 “Segment Information” in the Notes to Condensed Consolidated Financial Statements in Part I, Item 1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16610"/>
                <wp:effectExtent l="0" t="0" r="0" b="0"/>
                <wp:wrapNone/>
                <wp:docPr id="34" name="Frame3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Economic Conditions</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Macroeconomic Factors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are discretionary purchases, and demand may be adversely affected by changes in macroeconomic conditions that impact consumer discretionary spending. These conditions include, among other factors, inflationary pressures, interest rate environments, changes in trade policies or tariffs, and geopolitical tensions that may create an uncertain environment for global trade and contribute to volatility in commodity, energy, and other input costs. While we seek to mitigate the effects of such factors through monitoring consumer spending behavior and implementing strategic initiatives, prolonged or severe adverse economic conditions could negatively impact our operating results.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Tariffs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U.S. government implemented reciprocal tariffs affecting many countries in which we do business, increasing costs for our products, components, and raw materials, a significant portion of which are sourced from outside the United States, including Asia and other regions, which may adversely affect product availability, pricing, and demand. On February 20, 2026, the United States Supreme Court struck down certain tariffs previously imposed under the International Emergency Economic Powers Act of 1977 (“IEEPA”). As a result, we identified approximately $49.5 million of potential refund claims related to previously paid IEEPA tariffs, of which approximately $42.6 million has been received as of September 30, 2026. The remaining potential refund claims have not yet been filed and remain subject to applicable eligibility, filing, and recovery requirements.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tariff refund claims as gain contingencies and recognize refunds when they are deemed realized or realizable. During the three and nine months ended September 30, 2026, we recognized IEEPA tariff refund benefits of $33.5 million and $44.3 million, respectively, of which $31.8 million and $42.6 million were recognized in cost of sales, respectively, and $1.7 million was recognized in interest income (expense), net, in each period. Significant uncertainty remains regarding future U.S. trade policy and the amount and timing of any additional tariff refunds, including as a result of potential additional tariffs under alternative statutory authorities and ongoing legal, regulatory and administrative proceedings.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w:t>
      </w:r>
    </w:p>
    <w:p>
      <w:pPr>
        <w:pStyle w:val="TextBody"/>
        <w:bidi w:val="0"/>
        <w:spacing w:lineRule="auto" w:line="288" w:before="120" w:after="283"/>
        <w:ind w:left="0" w:right="0" w:firstLine="450"/>
        <w:jc w:val="both"/>
      </w:pPr>
      <w:r>
        <w:rPr>
          <w:rFonts w:ascii="Times New Roman;serif" w:hAnsi="Times New Roman;serif"/>
          <w:b w:val="false"/>
          <w:color w:val="000000"/>
          <w:sz w:val="20"/>
        </w:rPr>
        <w:t>A significant portion of our operations is conducted outside the United States in currencies other than the U.S. dollar. We use foreign currency forward contracts to partially mitigate the short</w:t>
        <w:noBreakHyphen/>
        <w:t>term effects of exchange rate fluctuations on our financial results; however, these instruments do not eliminate currency impacts or address long</w:t>
        <w:noBreakHyphen/>
        <w:t>term exposure. Foreign currency fluctuations affect our results primarily through the translation of foreign</w:t>
        <w:noBreakHyphen/>
        <w:t>currency</w:t>
        <w:noBreakHyphen/>
        <w:t>denominated results into U.S. dollars and mark</w:t>
        <w:noBreakHyphen/>
        <w:t>to</w:t>
        <w:noBreakHyphen/>
        <w:t>market adjustments on certain intercompany balances and foreign currency forward contracts. F</w:t>
      </w:r>
      <w:r>
        <w:rPr>
          <w:rFonts w:ascii="Times New Roman;serif" w:hAnsi="Times New Roman;serif"/>
          <w:b w:val="false"/>
          <w:color w:val="000000"/>
          <w:sz w:val="20"/>
          <w:shd w:fill="FFFFFF" w:val="clear"/>
        </w:rPr>
        <w:t xml:space="preserve">or the three and </w:t>
      </w:r>
      <w:r>
        <w:rPr>
          <w:rFonts w:ascii="Times New Roman;serif" w:hAnsi="Times New Roman;serif"/>
          <w:b w:val="false"/>
          <w:color w:val="000000"/>
          <w:sz w:val="20"/>
        </w:rPr>
        <w:t xml:space="preserve">nine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w:t>
      </w:r>
      <w:r>
        <w:rPr>
          <w:rFonts w:ascii="Times New Roman;serif" w:hAnsi="Times New Roman;serif"/>
          <w:b w:val="false"/>
          <w:color w:val="000000"/>
          <w:sz w:val="20"/>
          <w:shd w:fill="FFFFFF" w:val="clear"/>
        </w:rPr>
        <w:t>, foreign currency</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000000"/>
          <w:sz w:val="20"/>
          <w:shd w:fill="FFFFFF" w:val="clear"/>
        </w:rPr>
        <w:t>luctuations had</w:t>
      </w:r>
      <w:r>
        <w:rPr>
          <w:color w:val="000000"/>
        </w:rPr>
        <w:t xml:space="preserve"> </w:t>
      </w:r>
      <w:r>
        <w:rPr>
          <w:rFonts w:ascii="Times New Roman;serif" w:hAnsi="Times New Roman;serif"/>
          <w:b w:val="false"/>
          <w:color w:val="000000"/>
          <w:sz w:val="20"/>
        </w:rPr>
        <w:t xml:space="preserve">unfavorable impacts of </w:t>
      </w:r>
      <w:r>
        <w:rPr>
          <w:rFonts w:ascii="Times New Roman;serif" w:hAnsi="Times New Roman;serif"/>
          <w:b w:val="false"/>
          <w:color w:val="000000"/>
          <w:sz w:val="20"/>
          <w:shd w:fill="FFFFFF" w:val="clear"/>
        </w:rPr>
        <w:t>$4.0 million and</w:t>
      </w:r>
      <w:r>
        <w:rPr>
          <w:color w:val="000000"/>
        </w:rPr>
        <w:t xml:space="preserve"> </w:t>
      </w:r>
      <w:r>
        <w:rPr>
          <w:rFonts w:ascii="Times New Roman;serif" w:hAnsi="Times New Roman;serif"/>
          <w:b w:val="false"/>
          <w:color w:val="000000"/>
          <w:sz w:val="20"/>
          <w:shd w:fill="FFFFFF" w:val="clear"/>
        </w:rPr>
        <w:t>$1.5 million, respectively, on international net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ind w:left="0" w:right="0" w:firstLine="450"/>
        <w:jc w:val="both"/>
      </w:pPr>
      <w:r>
        <w:rPr>
          <w:rFonts w:ascii="Times New Roman;serif" w:hAnsi="Times New Roman;serif"/>
          <w:b w:val="false"/>
          <w:color w:val="000000"/>
          <w:sz w:val="20"/>
        </w:rPr>
        <w:t xml:space="preserve">We have reclassified certain prior-year amounts related to our discontinued operations to conform to the current year’s presentation. Unless otherwise specified, our discussion below reflects continuing operations only and prior period financial information related to discontinued operations has been reclassified and is separately presented in the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 xml:space="preserve">consolidated financial statements and accompanying notes. Unless otherwise specified, comparisons below reflect the current year period as compared to the same period in 2025. </w:t>
      </w:r>
    </w:p>
    <w:p>
      <w:pPr>
        <w:pStyle w:val="TextBody"/>
        <w:bidi w:val="0"/>
        <w:spacing w:lineRule="auto" w:line="288" w:before="120" w:after="283"/>
        <w:ind w:left="0" w:right="0" w:firstLine="450"/>
        <w:jc w:val="both"/>
      </w:pPr>
      <w:r>
        <w:rPr>
          <w:rFonts w:ascii="Times New Roman;serif" w:hAnsi="Times New Roman;serif"/>
          <w:b w:val="false"/>
          <w:i/>
          <w:color w:val="000000"/>
          <w:sz w:val="20"/>
        </w:rPr>
        <w:t>Net sales and operating segment results (in millions,</w:t>
      </w:r>
      <w:r>
        <w:rPr>
          <w:color w:val="000000"/>
        </w:rPr>
        <w:t xml:space="preserve"> </w:t>
      </w:r>
      <w:r>
        <w:rPr>
          <w:rFonts w:ascii="Times New Roman;serif" w:hAnsi="Times New Roman;serif"/>
          <w:b w:val="false"/>
          <w:i/>
          <w:color w:val="000000"/>
          <w:sz w:val="20"/>
        </w:rPr>
        <w:t>except percentages)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September 30, 2026 decreased $25.7 million or 5.6% (4.7% on a constant currency basis) as compared to the three months ended September 30, 2025. Segment operating income increased $9.7 million or 26.2% driven by increases in both our Golf Equipment and Apparel, Gear and Other operating segments.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nine months ended September 30, 2026 increased $44.0 million or 2.6% (2.7% on a constant currency basis) as compared to the nine months ended September 30, 2025. Segment operating income increased $70.3 million or 25.1% driven by increases in both our Golf Equipment and Apparel, Gear and Other operating segments.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16610"/>
                <wp:effectExtent l="0" t="0" r="0" b="0"/>
                <wp:wrapNone/>
                <wp:docPr id="35" name="Frame3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tbl>
      <w:tblPr>
        <w:tblW w:w="13192" w:type="dxa"/>
        <w:jc w:val="left"/>
        <w:tblInd w:w="0" w:type="dxa"/>
        <w:tblLayout w:type="fixed"/>
        <w:tblCellMar>
          <w:top w:w="28" w:type="dxa"/>
          <w:left w:w="28" w:type="dxa"/>
          <w:bottom w:w="28" w:type="dxa"/>
          <w:right w:w="28" w:type="dxa"/>
        </w:tblCellMar>
      </w:tblPr>
      <w:tblGrid>
        <w:gridCol w:w="636"/>
        <w:gridCol w:w="278"/>
        <w:gridCol w:w="212"/>
        <w:gridCol w:w="196"/>
        <w:gridCol w:w="556"/>
        <w:gridCol w:w="109"/>
        <w:gridCol w:w="109"/>
        <w:gridCol w:w="109"/>
        <w:gridCol w:w="109"/>
        <w:gridCol w:w="196"/>
        <w:gridCol w:w="556"/>
        <w:gridCol w:w="109"/>
        <w:gridCol w:w="109"/>
        <w:gridCol w:w="109"/>
        <w:gridCol w:w="109"/>
        <w:gridCol w:w="196"/>
        <w:gridCol w:w="481"/>
        <w:gridCol w:w="109"/>
        <w:gridCol w:w="109"/>
        <w:gridCol w:w="109"/>
        <w:gridCol w:w="109"/>
        <w:gridCol w:w="284"/>
        <w:gridCol w:w="287"/>
        <w:gridCol w:w="349"/>
        <w:gridCol w:w="109"/>
        <w:gridCol w:w="109"/>
        <w:gridCol w:w="109"/>
        <w:gridCol w:w="315"/>
        <w:gridCol w:w="315"/>
        <w:gridCol w:w="316"/>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76"/>
        <w:gridCol w:w="280"/>
        <w:gridCol w:w="349"/>
        <w:gridCol w:w="109"/>
        <w:gridCol w:w="109"/>
        <w:gridCol w:w="109"/>
        <w:gridCol w:w="290"/>
        <w:gridCol w:w="290"/>
        <w:gridCol w:w="411"/>
      </w:tblGrid>
      <w:tr>
        <w:tc>
          <w:tcPr>
            <w:tcW w:w="6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Non-GAAP Constant Currency Growth vs. 2025</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Non-GAAP Constant Currency Growth vs. 2025</w:t>
            </w:r>
            <w:r>
              <w:rPr>
                <w:rFonts w:ascii="Times New Roman;serif" w:hAnsi="Times New Roman;serif"/>
                <w:b/>
                <w:color w:val="000000"/>
                <w:sz w:val="10"/>
              </w:rPr>
              <w:t>(1)</w:t>
            </w:r>
          </w:p>
        </w:tc>
      </w:tr>
      <w:t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clubs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balls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 accessories, &amp;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income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operating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Non-recurring items </w:t>
            </w:r>
            <w:r>
              <w:rPr>
                <w:rFonts w:ascii="Times New Roman;serif" w:hAnsi="Times New Roman;serif"/>
                <w:b w:val="false"/>
                <w:color w:val="000000"/>
                <w:sz w:val="10"/>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6"/>
              </w:rPr>
              <w:t xml:space="preserve">Corporate costs and expenses </w:t>
            </w:r>
            <w:r>
              <w:rPr>
                <w:rFonts w:ascii="Times New Roman;serif" w:hAnsi="Times New Roman;serif"/>
                <w:b w:val="false"/>
                <w:color w:val="000000"/>
                <w:sz w:val="10"/>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(expense),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19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Calculated by applying 2025 exchange rates to 2026 reported sales in regions outside the United States.</w:t>
            </w:r>
          </w:p>
        </w:tc>
      </w:tr>
      <w:tr>
        <w:tc>
          <w:tcPr>
            <w:tcW w:w="1319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non-cash amortization of acquired intangible assets and non-recurring items primarily consisting of tariff refunds, costs related to the relocation to a new UK warehouse as a result of the sale of the Jack Wolfskin business in 2025, restructuring and reorganization charges related to the Transformation Plan, and the write-off of software assets stemming from our separation from Topgolf.</w:t>
            </w:r>
          </w:p>
        </w:tc>
      </w:tr>
      <w:tr>
        <w:tc>
          <w:tcPr>
            <w:tcW w:w="1319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Corporate costs and expenses include corporate general and administrative expenses not utilized by management in determining segment profitability as well as adjustments from discontinued operations related to indirect costs that were previously allocated to a segment.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Golf Equipment</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ind w:left="0" w:right="0" w:firstLine="450"/>
        <w:jc w:val="both"/>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$24.0 million (7.9%) decrease in Golf Equipment net sales for the three months ended September 30, 2026 was due to an 8.9% decrease in golf club sales and a 4.5% decrease in golf ball sales. The decrease in golf club sales resulted primarily from a planned decrease in product launches in the second half of 2026 driven by the strategic decision to lengthen lifecycles in the irons category and shift launch timing, combined with the unfavorable impact from changes in foreign currencies. This decrease was partially offset by better than expected net sales of the current quarter launch of the Mini Spinner fairway woods as well as the TRTL putters in the Asia market, combined with continued sales momentum for products launched earlier in the current year. The decrease in golf ball sales was driven by a decline in sales of lower margin golf ball products primarily related to SKU rationalization initiatives announced earlier this year.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16610"/>
                <wp:effectExtent l="0" t="0" r="0" b="0"/>
                <wp:wrapNone/>
                <wp:docPr id="36" name="Frame3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$36.8 million (3.2%) increase in Golf Equipment net sales for the nine months ended September 30, 2026 was due to a 2.7% increase in golf club sales driven by strong reception of new product launches, combined with a 4.8% increase in golf ball sales driven by the successful launch of the new Chrome family of golf balls and overall gains in market share, partially offset by a decrease in net sales of irons due to the planned change in launch timing and a decline in sales of lower margin golf ball products primarily related to SKU rationalization initiatives.</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$3.9 million (16.7%) increase in Golf Equipment segment operating income for the three months ended September 30, 2026 was primarily driven by an increase in gross margin resulting from ongoing initiatives including cost reductions, select price increases and rationalizing lower margin business, combined with favorable foreign currency impacts and lower tariffs, which more than offset the decrease in net sales and slight increase in operating expenses resulting from cost-of-living increases and inflationary pressures. </w:t>
      </w:r>
    </w:p>
    <w:p>
      <w:pPr>
        <w:pStyle w:val="TextBody"/>
        <w:bidi w:val="0"/>
        <w:spacing w:lineRule="auto" w:line="288" w:before="120" w:after="283"/>
        <w:ind w:left="0" w:right="0" w:firstLine="450"/>
        <w:jc w:val="both"/>
      </w:pPr>
      <w:r>
        <w:rPr>
          <w:rFonts w:ascii="Times New Roman;serif" w:hAnsi="Times New Roman;serif"/>
          <w:b w:val="false"/>
          <w:color w:val="000000"/>
          <w:sz w:val="20"/>
          <w:shd w:fill="FFFFFF" w:val="clear"/>
        </w:rPr>
        <w:t>T</w:t>
      </w:r>
      <w:r>
        <w:rPr>
          <w:rFonts w:ascii="Times New Roman;serif" w:hAnsi="Times New Roman;serif"/>
          <w:b w:val="false"/>
          <w:color w:val="000000"/>
          <w:sz w:val="20"/>
        </w:rPr>
        <w:t>he $43.8 million (21.8%) increase in Golf Equipment segment operating income for the nine months ended September 30, 2026 was primarily driven by the increase in net sales noted above, combined with an increase in gross margin resulting from ongoing initiatives including select price increases, cost reductions, and rationalizing lower margin business as well as favorable foreign currency impacts. These increases were partially offset by unfavorable impacts of imposed tariffs and higher operating expenses primarily due to an $8.2 million lease termination incentive gain recognized in the first quarter of 2025, combined with the unfavorable impact from cost-of-living increases and inflationary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Apparel, Gear and Other</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ind w:left="0" w:right="0" w:firstLine="450"/>
        <w:jc w:val="both"/>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$1.7 million (1.1%</w:t>
      </w:r>
      <w:r>
        <w:rPr>
          <w:rFonts w:ascii="Times New Roman;serif" w:hAnsi="Times New Roman;serif"/>
          <w:b w:val="false"/>
          <w:color w:val="000000"/>
          <w:sz w:val="20"/>
          <w:shd w:fill="FFFFFF" w:val="clear"/>
        </w:rPr>
        <w:t>) decrease in Apparel, Gear and Other net sales for</w:t>
      </w:r>
      <w:r>
        <w:rPr>
          <w:color w:val="000000"/>
        </w:rPr>
        <w:t xml:space="preserve"> </w:t>
      </w:r>
      <w:r>
        <w:rPr>
          <w:rFonts w:ascii="Times New Roman;serif" w:hAnsi="Times New Roman;serif"/>
          <w:b w:val="false"/>
          <w:color w:val="000000"/>
          <w:sz w:val="20"/>
        </w:rPr>
        <w:t xml:space="preserve">the three months ended September 30, 2026 was due to a decline in sales of gear and accessories, partially offset by an increase in sales of TravisMathew apparel products primarily related to higher direct-to-consumer sales.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$7.2 million (1.4%) increase in Apparel, Gear and Other net sales for the nine months ended September 30, 2026 was primarily due to increases in sales of TravisMathew apparel products related to strong overall market demand and higher direct-to-consumer sales, partially offset by a decline in sales of gear and accessories. </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450"/>
        <w:jc w:val="both"/>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$5.8 million (42.3%</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increase in segment operating income for the three months ended September 30, 2026 was primarily driven by higher gross margins due to cost savings from ongoing gross margin initiatives combined with lower tariffs, in addition to favorable product mix, which more than offset the decrease in net sales and higher operating expenses due to cost-of-living increases and inflationary pressures.</w:t>
      </w:r>
    </w:p>
    <w:p>
      <w:pPr>
        <w:pStyle w:val="TextBody"/>
        <w:bidi w:val="0"/>
        <w:spacing w:lineRule="auto" w:line="288" w:before="120" w:after="283"/>
        <w:ind w:left="0" w:right="0" w:firstLine="450"/>
        <w:jc w:val="both"/>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$26.5 million (</w:t>
      </w:r>
      <w:r>
        <w:rPr>
          <w:rFonts w:ascii="Times New Roman;serif" w:hAnsi="Times New Roman;serif"/>
          <w:b w:val="false"/>
          <w:color w:val="000000"/>
          <w:sz w:val="20"/>
          <w:shd w:fill="FFFFFF" w:val="clear"/>
        </w:rPr>
        <w:t xml:space="preserve">33.8%) </w:t>
      </w:r>
      <w:r>
        <w:rPr>
          <w:rFonts w:ascii="Times New Roman;serif" w:hAnsi="Times New Roman;serif"/>
          <w:b w:val="false"/>
          <w:color w:val="000000"/>
          <w:sz w:val="20"/>
        </w:rPr>
        <w:t>increase in segment operating income for the nine months ended September 30, 2026 was primarily driven by the increase in net sales and higher gross margins due to cost savings and select price increases from ongoing gross margin initiatives combined with favorable product mix. These increases were partially offset by an increase in operating expenses primarily due to a $3.8 million lease termination incentive gain recognized in the first quarter of 2025 combined with cost-of-living increases and inflationary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16610"/>
                <wp:effectExtent l="0" t="0" r="0" b="0"/>
                <wp:wrapNone/>
                <wp:docPr id="37" name="Frame3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by major geographic region for the periods presented below were as follows (in millions, except percentages):</w:t>
      </w:r>
    </w:p>
    <w:tbl>
      <w:tblPr>
        <w:tblW w:w="11434" w:type="dxa"/>
        <w:jc w:val="left"/>
        <w:tblInd w:w="0" w:type="dxa"/>
        <w:tblLayout w:type="fixed"/>
        <w:tblCellMar>
          <w:top w:w="28" w:type="dxa"/>
          <w:left w:w="28" w:type="dxa"/>
          <w:bottom w:w="28" w:type="dxa"/>
          <w:right w:w="28" w:type="dxa"/>
        </w:tblCellMar>
      </w:tblPr>
      <w:tblGrid>
        <w:gridCol w:w="322"/>
        <w:gridCol w:w="159"/>
        <w:gridCol w:w="150"/>
        <w:gridCol w:w="196"/>
        <w:gridCol w:w="556"/>
        <w:gridCol w:w="109"/>
        <w:gridCol w:w="109"/>
        <w:gridCol w:w="109"/>
        <w:gridCol w:w="109"/>
        <w:gridCol w:w="196"/>
        <w:gridCol w:w="556"/>
        <w:gridCol w:w="109"/>
        <w:gridCol w:w="109"/>
        <w:gridCol w:w="109"/>
        <w:gridCol w:w="109"/>
        <w:gridCol w:w="196"/>
        <w:gridCol w:w="481"/>
        <w:gridCol w:w="109"/>
        <w:gridCol w:w="239"/>
        <w:gridCol w:w="242"/>
        <w:gridCol w:w="357"/>
        <w:gridCol w:w="109"/>
        <w:gridCol w:w="109"/>
        <w:gridCol w:w="109"/>
        <w:gridCol w:w="264"/>
        <w:gridCol w:w="217"/>
        <w:gridCol w:w="512"/>
        <w:gridCol w:w="109"/>
        <w:gridCol w:w="109"/>
        <w:gridCol w:w="109"/>
        <w:gridCol w:w="196"/>
        <w:gridCol w:w="691"/>
        <w:gridCol w:w="109"/>
        <w:gridCol w:w="109"/>
        <w:gridCol w:w="109"/>
        <w:gridCol w:w="109"/>
        <w:gridCol w:w="196"/>
        <w:gridCol w:w="691"/>
        <w:gridCol w:w="109"/>
        <w:gridCol w:w="109"/>
        <w:gridCol w:w="109"/>
        <w:gridCol w:w="109"/>
        <w:gridCol w:w="196"/>
        <w:gridCol w:w="466"/>
        <w:gridCol w:w="109"/>
        <w:gridCol w:w="195"/>
        <w:gridCol w:w="196"/>
        <w:gridCol w:w="357"/>
        <w:gridCol w:w="208"/>
        <w:gridCol w:w="208"/>
        <w:gridCol w:w="575"/>
      </w:tblGrid>
      <w:tr>
        <w:tc>
          <w:tcPr>
            <w:tcW w:w="3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Non-GAAP Constant Currency Growth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Non-GAAP Constant Currency Growth vs. 2025</w:t>
            </w:r>
          </w:p>
        </w:tc>
      </w:tr>
      <w:t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6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sell our Golf Equipment and Apparel, Gear and Other products in the United States and internationally, with our principal international regions being Europe and Asia. Apparel, Gear and Other product sales for our TravisMathew business are primarily concentrated in the United States.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United States</w:t>
      </w:r>
    </w:p>
    <w:p>
      <w:pPr>
        <w:pStyle w:val="TextBody"/>
        <w:bidi w:val="0"/>
        <w:spacing w:lineRule="auto" w:line="288" w:before="60" w:after="283"/>
        <w:ind w:left="0" w:right="0" w:firstLine="450"/>
        <w:jc w:val="both"/>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$9.1 million</w:t>
      </w:r>
      <w:r>
        <w:rPr>
          <w:color w:val="000000"/>
        </w:rPr>
        <w:t xml:space="preserve"> </w:t>
      </w:r>
      <w:r>
        <w:rPr>
          <w:rFonts w:ascii="Times New Roman;serif" w:hAnsi="Times New Roman;serif"/>
          <w:b w:val="false"/>
          <w:color w:val="000000"/>
          <w:sz w:val="20"/>
        </w:rPr>
        <w:t xml:space="preserve">(3.0%) decrease in net sales for the three months ended September 30, 2026 was primarily due to lower sales volumes of golf equipment due to a planned decrease in product launches in the second half of 2026 and decreases in sales of golf bags, partially offset by higher TravisMathew apparel sales. The </w:t>
      </w:r>
      <w:r>
        <w:rPr>
          <w:rFonts w:ascii="Times New Roman;serif" w:hAnsi="Times New Roman;serif"/>
          <w:b w:val="false"/>
          <w:color w:val="000000"/>
          <w:sz w:val="20"/>
          <w:shd w:fill="FFFFFF" w:val="clear"/>
        </w:rPr>
        <w:t>$37.2 million</w:t>
      </w:r>
      <w:r>
        <w:rPr>
          <w:color w:val="000000"/>
        </w:rPr>
        <w:t xml:space="preserve"> </w:t>
      </w:r>
      <w:r>
        <w:rPr>
          <w:rFonts w:ascii="Times New Roman;serif" w:hAnsi="Times New Roman;serif"/>
          <w:b w:val="false"/>
          <w:color w:val="000000"/>
          <w:sz w:val="20"/>
        </w:rPr>
        <w:t>(3.3%) increase in net sales for the nine months ended September 30, 2026 was primarily due to higher sales of golf equipment and TravisMathew apparel from strong demand.</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Europe</w:t>
      </w:r>
    </w:p>
    <w:p>
      <w:pPr>
        <w:pStyle w:val="TextBody"/>
        <w:bidi w:val="0"/>
        <w:spacing w:lineRule="auto" w:line="288" w:before="60" w:after="283"/>
        <w:ind w:left="0" w:right="0" w:firstLine="450"/>
        <w:jc w:val="both"/>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$7.7 million</w:t>
      </w:r>
      <w:r>
        <w:rPr>
          <w:color w:val="000000"/>
        </w:rPr>
        <w:t xml:space="preserve"> </w:t>
      </w:r>
      <w:r>
        <w:rPr>
          <w:rFonts w:ascii="Times New Roman;serif" w:hAnsi="Times New Roman;serif"/>
          <w:b w:val="false"/>
          <w:color w:val="000000"/>
          <w:sz w:val="20"/>
        </w:rPr>
        <w:t>(17.1%) decrease in net sales for the 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 was</w:t>
      </w:r>
      <w:r>
        <w:rPr>
          <w:color w:val="000000"/>
          <w:shd w:fill="FFFFFF" w:val="clear"/>
        </w:rPr>
        <w:t xml:space="preserve"> </w:t>
      </w:r>
      <w:r>
        <w:rPr>
          <w:rFonts w:ascii="Times New Roman;serif" w:hAnsi="Times New Roman;serif"/>
          <w:b w:val="false"/>
          <w:color w:val="000000"/>
          <w:sz w:val="20"/>
        </w:rPr>
        <w:t xml:space="preserve">primarily due to decreases in golf equipment product sales due to a planned decrease in product launches in the second half of 2026. The </w:t>
      </w:r>
      <w:r>
        <w:rPr>
          <w:rFonts w:ascii="Times New Roman;serif" w:hAnsi="Times New Roman;serif"/>
          <w:b w:val="false"/>
          <w:color w:val="000000"/>
          <w:sz w:val="20"/>
          <w:shd w:fill="FFFFFF" w:val="clear"/>
        </w:rPr>
        <w:t>$11.4 million</w:t>
      </w:r>
      <w:r>
        <w:rPr>
          <w:color w:val="000000"/>
        </w:rPr>
        <w:t xml:space="preserve"> </w:t>
      </w:r>
      <w:r>
        <w:rPr>
          <w:rFonts w:ascii="Times New Roman;serif" w:hAnsi="Times New Roman;serif"/>
          <w:b w:val="false"/>
          <w:color w:val="000000"/>
          <w:sz w:val="20"/>
        </w:rPr>
        <w:t>(6.6%) increase in net sales for the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 was</w:t>
      </w:r>
      <w:r>
        <w:rPr>
          <w:color w:val="000000"/>
          <w:shd w:fill="FFFFFF" w:val="clear"/>
        </w:rPr>
        <w:t xml:space="preserve"> </w:t>
      </w:r>
      <w:r>
        <w:rPr>
          <w:rFonts w:ascii="Times New Roman;serif" w:hAnsi="Times New Roman;serif"/>
          <w:b w:val="false"/>
          <w:color w:val="000000"/>
          <w:sz w:val="20"/>
        </w:rPr>
        <w:t xml:space="preserve">primarily due to increases in golf equipment product sales from strong demand combined with the favorable impact of changes in foreign currency.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Asia</w:t>
      </w:r>
    </w:p>
    <w:p>
      <w:pPr>
        <w:pStyle w:val="TextBody"/>
        <w:bidi w:val="0"/>
        <w:spacing w:lineRule="auto" w:line="288" w:before="60" w:after="283"/>
        <w:ind w:left="0" w:right="0" w:firstLine="450"/>
        <w:jc w:val="both"/>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$10.4 million</w:t>
      </w:r>
      <w:r>
        <w:rPr>
          <w:color w:val="000000"/>
        </w:rPr>
        <w:t xml:space="preserve"> </w:t>
      </w:r>
      <w:r>
        <w:rPr>
          <w:rFonts w:ascii="Times New Roman;serif" w:hAnsi="Times New Roman;serif"/>
          <w:b w:val="false"/>
          <w:color w:val="000000"/>
          <w:sz w:val="20"/>
        </w:rPr>
        <w:t>(11.5%) decrease in net sales for the 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2026 was </w:t>
      </w:r>
      <w:r>
        <w:rPr>
          <w:rFonts w:ascii="Times New Roman;serif" w:hAnsi="Times New Roman;serif"/>
          <w:b w:val="false"/>
          <w:color w:val="000000"/>
          <w:sz w:val="20"/>
          <w:shd w:fill="FFFFFF" w:val="clear"/>
        </w:rPr>
        <w:t xml:space="preserve">primarily due to lower sales of golf equipment products </w:t>
      </w:r>
      <w:r>
        <w:rPr>
          <w:rFonts w:ascii="Times New Roman;serif" w:hAnsi="Times New Roman;serif"/>
          <w:b w:val="false"/>
          <w:color w:val="000000"/>
          <w:sz w:val="20"/>
        </w:rPr>
        <w:t xml:space="preserve">due to a planned decrease in product launches in the second half of 2026 </w:t>
      </w:r>
      <w:r>
        <w:rPr>
          <w:rFonts w:ascii="Times New Roman;serif" w:hAnsi="Times New Roman;serif"/>
          <w:b w:val="false"/>
          <w:color w:val="000000"/>
          <w:sz w:val="20"/>
          <w:shd w:fill="FFFFFF" w:val="clear"/>
        </w:rPr>
        <w:t>combined with unfavorable foreign currency impacts. On a constant currency basis, net sales decreased $6.2 million (</w:t>
      </w:r>
      <w:r>
        <w:rPr>
          <w:rFonts w:ascii="Times New Roman;serif" w:hAnsi="Times New Roman;serif"/>
          <w:b w:val="false"/>
          <w:color w:val="000000"/>
          <w:sz w:val="20"/>
        </w:rPr>
        <w:t>6.9%) during the 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$15.2 million</w:t>
      </w:r>
      <w:r>
        <w:rPr>
          <w:color w:val="000000"/>
        </w:rPr>
        <w:t xml:space="preserve"> </w:t>
      </w:r>
      <w:r>
        <w:rPr>
          <w:rFonts w:ascii="Times New Roman;serif" w:hAnsi="Times New Roman;serif"/>
          <w:b w:val="false"/>
          <w:color w:val="000000"/>
          <w:sz w:val="20"/>
        </w:rPr>
        <w:t>(5.3%) decrease in net sales for the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2026 was </w:t>
      </w:r>
      <w:r>
        <w:rPr>
          <w:rFonts w:ascii="Times New Roman;serif" w:hAnsi="Times New Roman;serif"/>
          <w:b w:val="false"/>
          <w:color w:val="000000"/>
          <w:sz w:val="20"/>
          <w:shd w:fill="FFFFFF" w:val="clear"/>
        </w:rPr>
        <w:t>primarily due to unfavorable foreign currency impacts. On a constant currency basis, net sales decreased $1.2 million (</w:t>
      </w:r>
      <w:r>
        <w:rPr>
          <w:rFonts w:ascii="Times New Roman;serif" w:hAnsi="Times New Roman;serif"/>
          <w:b w:val="false"/>
          <w:color w:val="000000"/>
          <w:sz w:val="20"/>
        </w:rPr>
        <w:t>0.4%) during the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2026.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Rest of World</w:t>
      </w:r>
    </w:p>
    <w:p>
      <w:pPr>
        <w:pStyle w:val="TextBody"/>
        <w:bidi w:val="0"/>
        <w:spacing w:lineRule="auto" w:line="288" w:before="60" w:after="283"/>
        <w:ind w:left="0" w:right="0" w:firstLine="450"/>
        <w:jc w:val="both"/>
      </w:pPr>
      <w:r>
        <w:rPr>
          <w:rFonts w:ascii="Times New Roman;serif" w:hAnsi="Times New Roman;serif"/>
          <w:b w:val="false"/>
          <w:color w:val="000000"/>
          <w:sz w:val="20"/>
          <w:shd w:fill="FFFFFF" w:val="clear"/>
        </w:rPr>
        <w:t>The $1.5 million</w:t>
      </w:r>
      <w:r>
        <w:rPr>
          <w:color w:val="000000"/>
        </w:rPr>
        <w:t xml:space="preserve"> </w:t>
      </w:r>
      <w:r>
        <w:rPr>
          <w:rFonts w:ascii="Times New Roman;serif" w:hAnsi="Times New Roman;serif"/>
          <w:b w:val="false"/>
          <w:color w:val="000000"/>
          <w:sz w:val="20"/>
        </w:rPr>
        <w:t xml:space="preserve">(6.0%) and </w:t>
      </w:r>
      <w:r>
        <w:rPr>
          <w:rFonts w:ascii="Times New Roman;serif" w:hAnsi="Times New Roman;serif"/>
          <w:b w:val="false"/>
          <w:color w:val="000000"/>
          <w:sz w:val="20"/>
          <w:shd w:fill="FFFFFF" w:val="clear"/>
        </w:rPr>
        <w:t>$10.6 million</w:t>
      </w:r>
      <w:r>
        <w:rPr>
          <w:color w:val="000000"/>
        </w:rPr>
        <w:t xml:space="preserve"> </w:t>
      </w:r>
      <w:r>
        <w:rPr>
          <w:rFonts w:ascii="Times New Roman;serif" w:hAnsi="Times New Roman;serif"/>
          <w:b w:val="false"/>
          <w:color w:val="000000"/>
          <w:sz w:val="20"/>
        </w:rPr>
        <w:t xml:space="preserve">(9.6%) increases for </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 respectively, were primarily due to higher golf equipment sales in Canada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Gross Profit, Gross Margin and Reconciliation of Non-GAAP Measures (in millions, except percentages)</w:t>
      </w:r>
    </w:p>
    <w:tbl>
      <w:tblPr>
        <w:tblW w:w="10205" w:type="dxa"/>
        <w:jc w:val="left"/>
        <w:tblInd w:w="0" w:type="dxa"/>
        <w:tblLayout w:type="fixed"/>
        <w:tblCellMar>
          <w:top w:w="28" w:type="dxa"/>
          <w:left w:w="28" w:type="dxa"/>
          <w:bottom w:w="28" w:type="dxa"/>
          <w:right w:w="28" w:type="dxa"/>
        </w:tblCellMar>
      </w:tblPr>
      <w:tblGrid>
        <w:gridCol w:w="361"/>
        <w:gridCol w:w="195"/>
        <w:gridCol w:w="197"/>
        <w:gridCol w:w="202"/>
        <w:gridCol w:w="573"/>
        <w:gridCol w:w="264"/>
        <w:gridCol w:w="112"/>
        <w:gridCol w:w="112"/>
        <w:gridCol w:w="112"/>
        <w:gridCol w:w="202"/>
        <w:gridCol w:w="573"/>
        <w:gridCol w:w="264"/>
        <w:gridCol w:w="109"/>
        <w:gridCol w:w="109"/>
        <w:gridCol w:w="109"/>
        <w:gridCol w:w="202"/>
        <w:gridCol w:w="511"/>
        <w:gridCol w:w="112"/>
        <w:gridCol w:w="245"/>
        <w:gridCol w:w="248"/>
        <w:gridCol w:w="357"/>
        <w:gridCol w:w="109"/>
        <w:gridCol w:w="109"/>
        <w:gridCol w:w="109"/>
        <w:gridCol w:w="196"/>
        <w:gridCol w:w="691"/>
        <w:gridCol w:w="256"/>
        <w:gridCol w:w="109"/>
        <w:gridCol w:w="109"/>
        <w:gridCol w:w="109"/>
        <w:gridCol w:w="196"/>
        <w:gridCol w:w="691"/>
        <w:gridCol w:w="256"/>
        <w:gridCol w:w="109"/>
        <w:gridCol w:w="109"/>
        <w:gridCol w:w="109"/>
        <w:gridCol w:w="201"/>
        <w:gridCol w:w="571"/>
        <w:gridCol w:w="112"/>
        <w:gridCol w:w="232"/>
        <w:gridCol w:w="234"/>
        <w:gridCol w:w="419"/>
      </w:tblGrid>
      <w:tr>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7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51.9 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39.8 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49.5 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16610"/>
                <wp:effectExtent l="0" t="0" r="0" b="0"/>
                <wp:wrapNone/>
                <wp:docPr id="38" name="Frame3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GAAP results for the three and nine months ended September 30, 2026 and 2025 to our non-GAAP results for the same periods (in millions, except per share information):</w:t>
      </w:r>
    </w:p>
    <w:tbl>
      <w:tblPr>
        <w:tblW w:w="10205" w:type="dxa"/>
        <w:jc w:val="left"/>
        <w:tblInd w:w="0" w:type="dxa"/>
        <w:tblLayout w:type="fixed"/>
        <w:tblCellMar>
          <w:top w:w="28" w:type="dxa"/>
          <w:left w:w="28" w:type="dxa"/>
          <w:bottom w:w="28" w:type="dxa"/>
          <w:right w:w="28" w:type="dxa"/>
        </w:tblCellMar>
      </w:tblPr>
      <w:tblGrid>
        <w:gridCol w:w="406"/>
        <w:gridCol w:w="319"/>
        <w:gridCol w:w="321"/>
        <w:gridCol w:w="200"/>
        <w:gridCol w:w="568"/>
        <w:gridCol w:w="111"/>
        <w:gridCol w:w="110"/>
        <w:gridCol w:w="110"/>
        <w:gridCol w:w="110"/>
        <w:gridCol w:w="258"/>
        <w:gridCol w:w="216"/>
        <w:gridCol w:w="363"/>
        <w:gridCol w:w="110"/>
        <w:gridCol w:w="110"/>
        <w:gridCol w:w="110"/>
        <w:gridCol w:w="200"/>
        <w:gridCol w:w="568"/>
        <w:gridCol w:w="111"/>
        <w:gridCol w:w="110"/>
        <w:gridCol w:w="110"/>
        <w:gridCol w:w="110"/>
        <w:gridCol w:w="258"/>
        <w:gridCol w:w="216"/>
        <w:gridCol w:w="363"/>
        <w:gridCol w:w="110"/>
        <w:gridCol w:w="110"/>
        <w:gridCol w:w="110"/>
        <w:gridCol w:w="200"/>
        <w:gridCol w:w="568"/>
        <w:gridCol w:w="111"/>
        <w:gridCol w:w="110"/>
        <w:gridCol w:w="110"/>
        <w:gridCol w:w="110"/>
        <w:gridCol w:w="258"/>
        <w:gridCol w:w="216"/>
        <w:gridCol w:w="363"/>
        <w:gridCol w:w="110"/>
        <w:gridCol w:w="110"/>
        <w:gridCol w:w="110"/>
        <w:gridCol w:w="200"/>
        <w:gridCol w:w="568"/>
        <w:gridCol w:w="111"/>
        <w:gridCol w:w="110"/>
        <w:gridCol w:w="110"/>
        <w:gridCol w:w="110"/>
        <w:gridCol w:w="246"/>
        <w:gridCol w:w="228"/>
        <w:gridCol w:w="348"/>
      </w:tblGrid>
      <w:tr>
        <w:tc>
          <w:tcPr>
            <w:tcW w:w="4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Margin</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Gross Margin</w:t>
            </w:r>
          </w:p>
        </w:tc>
      </w:tr>
      <w:tr>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18"/>
              </w:rPr>
              <w:t>Non-recurring items</w:t>
            </w:r>
            <w:r>
              <w:rPr>
                <w:rFonts w:ascii="Times New Roman;serif" w:hAnsi="Times New Roman;serif"/>
                <w:b w:val="false"/>
                <w:color w:val="000000"/>
                <w:sz w:val="12"/>
              </w:rPr>
              <w:t>(1)(2)</w:t>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48"/>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In the three months ended September 30, 2026, amounts primarily include $31.8 million of tariff refunds, partially offset by $1.6 million of costs incurred to relocate to a new UK warehouse as a result of the sale of the Jack Wolfskin business in 2025. In the nine months ended September 30, 2026, amounts primarily include $42.6 million of tariff refunds, partially offset by $3.2 million of costs incurred to relocate to a new UK warehouse as a result of the sale of the Jack Wolfskin business in 2025. </w:t>
            </w:r>
          </w:p>
        </w:tc>
      </w:tr>
      <w:tr>
        <w:tc>
          <w:tcPr>
            <w:tcW w:w="10205" w:type="dxa"/>
            <w:gridSpan w:val="48"/>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In the nine months ended September 30, 2025, amounts primarily include restructuring and reorganization costs. </w:t>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sales</w:t>
      </w:r>
    </w:p>
    <w:p>
      <w:pPr>
        <w:pStyle w:val="TextBody"/>
        <w:bidi w:val="0"/>
        <w:spacing w:lineRule="auto" w:line="288" w:before="60" w:after="283"/>
        <w:ind w:left="0" w:right="0" w:firstLine="450"/>
        <w:jc w:val="both"/>
      </w:pPr>
      <w:r>
        <w:rPr>
          <w:rFonts w:ascii="Times New Roman;serif" w:hAnsi="Times New Roman;serif"/>
          <w:b w:val="false"/>
          <w:color w:val="000000"/>
          <w:sz w:val="20"/>
        </w:rPr>
        <w:t>Our cost of sales is variable in nature and fluctuates relative to sales volumes. Cost of sales includes raw materials and component costs, direct labor and manufacturing overhead, inbound freight, duties, tariffs and shipping charges, and depreciation and amortization directly related to manufacturing and distribution.</w:t>
      </w:r>
      <w:r>
        <w:rPr>
          <w:color w:val="000000"/>
          <w:shd w:fill="FFFFFF" w:val="clear"/>
        </w:rPr>
        <w:t xml:space="preserve">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Gross profit and gross margin</w:t>
      </w:r>
    </w:p>
    <w:p>
      <w:pPr>
        <w:pStyle w:val="TextBody"/>
        <w:bidi w:val="0"/>
        <w:spacing w:lineRule="auto" w:line="288" w:before="60" w:after="283"/>
        <w:ind w:left="0" w:right="0" w:firstLine="450"/>
        <w:jc w:val="both"/>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 xml:space="preserve">gross profit increased by </w:t>
      </w:r>
      <w:r>
        <w:rPr>
          <w:rFonts w:ascii="Times New Roman;serif" w:hAnsi="Times New Roman;serif"/>
          <w:b w:val="false"/>
          <w:color w:val="000000"/>
          <w:sz w:val="20"/>
        </w:rPr>
        <w:t>$42.4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23.0%)</w:t>
      </w:r>
      <w:r>
        <w:rPr>
          <w:color w:val="000000"/>
          <w:shd w:fill="FFFFFF" w:val="clear"/>
        </w:rPr>
        <w:t xml:space="preserve"> </w:t>
      </w:r>
      <w:r>
        <w:rPr>
          <w:rFonts w:ascii="Times New Roman;serif" w:hAnsi="Times New Roman;serif"/>
          <w:b w:val="false"/>
          <w:color w:val="000000"/>
          <w:sz w:val="20"/>
          <w:shd w:fill="FFFFFF" w:val="clear"/>
        </w:rPr>
        <w:t>as compared to the prior year period.</w:t>
      </w:r>
      <w:r>
        <w:rPr>
          <w:color w:val="000000"/>
        </w:rPr>
        <w:t xml:space="preserve"> </w:t>
      </w:r>
      <w:r>
        <w:rPr>
          <w:rFonts w:ascii="Times New Roman;serif" w:hAnsi="Times New Roman;serif"/>
          <w:b w:val="false"/>
          <w:color w:val="000000"/>
          <w:sz w:val="20"/>
        </w:rPr>
        <w:t>Gross profit as a percent of net sales (“gross margin”) increased to 51.9% for the three months ended September 30, 2026 compared to 39.8% for the three months ended September 30, 2025. The improvement in gross margin was primarily due to the recognition of $31.8 million of tariff refunds in the current period, combined with continued progress on our gross margin initiatives including cost reductions, select price increases and rationalizing lower margin business. On a Non-GAAP basis, excluding tariff refunds and non-recurring items, gross margin increased 520 basis points to 45.0% for the three months ended September 30, 2026 compared to 39.8% in the comparative period in 2025.</w:t>
      </w:r>
    </w:p>
    <w:p>
      <w:pPr>
        <w:pStyle w:val="TextBody"/>
        <w:bidi w:val="0"/>
        <w:spacing w:lineRule="auto" w:line="288" w:before="60" w:after="283"/>
        <w:ind w:left="0" w:right="0" w:firstLine="450"/>
        <w:jc w:val="both"/>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 xml:space="preserve">gross profit increased by </w:t>
      </w:r>
      <w:r>
        <w:rPr>
          <w:rFonts w:ascii="Times New Roman;serif" w:hAnsi="Times New Roman;serif"/>
          <w:b w:val="false"/>
          <w:color w:val="000000"/>
          <w:sz w:val="20"/>
        </w:rPr>
        <w:t>$128.8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17.6%)</w:t>
      </w:r>
      <w:r>
        <w:rPr>
          <w:color w:val="000000"/>
          <w:shd w:fill="FFFFFF" w:val="clear"/>
        </w:rPr>
        <w:t xml:space="preserve"> </w:t>
      </w:r>
      <w:r>
        <w:rPr>
          <w:rFonts w:ascii="Times New Roman;serif" w:hAnsi="Times New Roman;serif"/>
          <w:b w:val="false"/>
          <w:color w:val="000000"/>
          <w:sz w:val="20"/>
          <w:shd w:fill="FFFFFF" w:val="clear"/>
        </w:rPr>
        <w:t>as compared to the prior year period.</w:t>
      </w:r>
      <w:r>
        <w:rPr>
          <w:color w:val="000000"/>
        </w:rPr>
        <w:t xml:space="preserve"> </w:t>
      </w:r>
      <w:r>
        <w:rPr>
          <w:rFonts w:ascii="Times New Roman;serif" w:hAnsi="Times New Roman;serif"/>
          <w:b w:val="false"/>
          <w:color w:val="000000"/>
          <w:sz w:val="20"/>
        </w:rPr>
        <w:t>Gross margin increased to 49.5% for the nine months ended September 30, 2026 compared to 43.2% for the nine months ended September 30, 2025.</w:t>
      </w:r>
      <w:r>
        <w:rPr>
          <w:color w:val="000000"/>
          <w:shd w:fill="FFFFFF" w:val="clear"/>
        </w:rPr>
        <w:t xml:space="preserve"> </w:t>
      </w:r>
      <w:r>
        <w:rPr>
          <w:rFonts w:ascii="Times New Roman;serif" w:hAnsi="Times New Roman;serif"/>
          <w:b w:val="false"/>
          <w:color w:val="000000"/>
          <w:sz w:val="20"/>
        </w:rPr>
        <w:t>The improvement in gross margin was primarily due to continued progress on our gross margin initiatives including select</w:t>
      </w:r>
      <w:r>
        <w:rPr>
          <w:color w:val="000000"/>
          <w:shd w:fill="FFFFFF" w:val="clear"/>
        </w:rPr>
        <w:t xml:space="preserve"> </w:t>
      </w:r>
      <w:r>
        <w:rPr>
          <w:rFonts w:ascii="Times New Roman;serif" w:hAnsi="Times New Roman;serif"/>
          <w:b w:val="false"/>
          <w:color w:val="000000"/>
          <w:sz w:val="20"/>
          <w:shd w:fill="FFFFFF" w:val="clear"/>
        </w:rPr>
        <w:t>price increases,</w:t>
      </w:r>
      <w:r>
        <w:rPr>
          <w:color w:val="000000"/>
        </w:rPr>
        <w:t xml:space="preserve"> </w:t>
      </w:r>
      <w:r>
        <w:rPr>
          <w:rFonts w:ascii="Times New Roman;serif" w:hAnsi="Times New Roman;serif"/>
          <w:b w:val="false"/>
          <w:color w:val="000000"/>
          <w:sz w:val="20"/>
          <w:shd w:fill="FFFFFF" w:val="clear"/>
        </w:rPr>
        <w:t xml:space="preserve">cost reductions and </w:t>
      </w:r>
      <w:r>
        <w:rPr>
          <w:rFonts w:ascii="Times New Roman;serif" w:hAnsi="Times New Roman;serif"/>
          <w:b w:val="false"/>
          <w:color w:val="000000"/>
          <w:sz w:val="20"/>
        </w:rPr>
        <w:t>rationalizing lower margin business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combined with a net benefit from the recognition of tariff refunds of $42.6 million in the current period, which more than offset incremental tariff costs. On a Non-GAAP basis, excluding tariff refunds and non-recurring items, gross margin increased 410 basis points to 47.3% for the nine months ended September 30, 2026 compared to 43.2% in the comparative period in 2025.</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Operating Expenses (in millions, except percentages)</w:t>
      </w:r>
    </w:p>
    <w:tbl>
      <w:tblPr>
        <w:tblW w:w="10205" w:type="dxa"/>
        <w:jc w:val="left"/>
        <w:tblInd w:w="0" w:type="dxa"/>
        <w:tblLayout w:type="fixed"/>
        <w:tblCellMar>
          <w:top w:w="28" w:type="dxa"/>
          <w:left w:w="28" w:type="dxa"/>
          <w:bottom w:w="28" w:type="dxa"/>
          <w:right w:w="28" w:type="dxa"/>
        </w:tblCellMar>
      </w:tblPr>
      <w:tblGrid>
        <w:gridCol w:w="627"/>
        <w:gridCol w:w="359"/>
        <w:gridCol w:w="343"/>
        <w:gridCol w:w="202"/>
        <w:gridCol w:w="574"/>
        <w:gridCol w:w="112"/>
        <w:gridCol w:w="112"/>
        <w:gridCol w:w="112"/>
        <w:gridCol w:w="112"/>
        <w:gridCol w:w="202"/>
        <w:gridCol w:w="574"/>
        <w:gridCol w:w="112"/>
        <w:gridCol w:w="109"/>
        <w:gridCol w:w="109"/>
        <w:gridCol w:w="109"/>
        <w:gridCol w:w="196"/>
        <w:gridCol w:w="376"/>
        <w:gridCol w:w="109"/>
        <w:gridCol w:w="109"/>
        <w:gridCol w:w="109"/>
        <w:gridCol w:w="109"/>
        <w:gridCol w:w="198"/>
        <w:gridCol w:w="199"/>
        <w:gridCol w:w="357"/>
        <w:gridCol w:w="109"/>
        <w:gridCol w:w="109"/>
        <w:gridCol w:w="109"/>
        <w:gridCol w:w="201"/>
        <w:gridCol w:w="571"/>
        <w:gridCol w:w="112"/>
        <w:gridCol w:w="112"/>
        <w:gridCol w:w="112"/>
        <w:gridCol w:w="112"/>
        <w:gridCol w:w="201"/>
        <w:gridCol w:w="571"/>
        <w:gridCol w:w="112"/>
        <w:gridCol w:w="109"/>
        <w:gridCol w:w="109"/>
        <w:gridCol w:w="109"/>
        <w:gridCol w:w="196"/>
        <w:gridCol w:w="466"/>
        <w:gridCol w:w="109"/>
        <w:gridCol w:w="109"/>
        <w:gridCol w:w="109"/>
        <w:gridCol w:w="109"/>
        <w:gridCol w:w="198"/>
        <w:gridCol w:w="199"/>
        <w:gridCol w:w="422"/>
      </w:tblGrid>
      <w:tr>
        <w:tc>
          <w:tcPr>
            <w:tcW w:w="6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2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 expense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expenses primarily consist of employee costs, advertising and promotional expense, legal and professional fees, tour expenses, travel expenses, building and rent expenses, depreciation and amortization charges and other miscellaneous expenses.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16610"/>
                <wp:effectExtent l="0" t="0" r="0" b="0"/>
                <wp:wrapNone/>
                <wp:docPr id="39" name="Frame3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$2.7 million (1.7%) increase in SG&amp;A expenses for the three months ended September 30, 2026 was primarily due to cost-of-living increases and inflationary pressures, which were largely offset by savings from cost reduction initiatives.</w:t>
      </w:r>
    </w:p>
    <w:p>
      <w:pPr>
        <w:pStyle w:val="TextBody"/>
        <w:bidi w:val="0"/>
        <w:spacing w:lineRule="auto" w:line="288" w:before="120" w:after="283"/>
        <w:ind w:left="0" w:right="0" w:firstLine="495"/>
        <w:jc w:val="both"/>
      </w:pPr>
      <w:r>
        <w:rPr>
          <w:rFonts w:ascii="Times New Roman;serif" w:hAnsi="Times New Roman;serif"/>
          <w:b w:val="false"/>
          <w:color w:val="000000"/>
          <w:sz w:val="20"/>
        </w:rPr>
        <w:t xml:space="preserve">The $13.8 million (2.7%) increase in SG&amp;A expenses for </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2026</w:t>
      </w:r>
      <w:r>
        <w:rPr>
          <w:color w:val="000000"/>
          <w:shd w:fill="FFFFFF" w:val="clear"/>
        </w:rPr>
        <w:t xml:space="preserve"> </w:t>
      </w:r>
      <w:r>
        <w:rPr>
          <w:rFonts w:ascii="Times New Roman;serif" w:hAnsi="Times New Roman;serif"/>
          <w:b w:val="false"/>
          <w:color w:val="000000"/>
          <w:sz w:val="20"/>
          <w:shd w:fill="FFFFFF" w:val="clear"/>
        </w:rPr>
        <w:t xml:space="preserve">was primarily due to a $12.0 million gain recognized from a lease termination incentive in the first quarter of 2025, which did not recur in 2026, combined with cost-of-living increases and inflationary pressures. These increases were largely offset by savings from cost reduction initiatives.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are comprised of costs to design, develop, test or improve our products and technology, and primarily include employee costs of personnel engaged in research and development activities, research costs and depreciation expense.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$0.2 million (1.3%) decrease in research and development expenses for the three months ended September 30, 2026 was primarily due to a decrease in employee costs from cost savings initiatives.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$0.5 million (1.1%) decrease in research and development expenses for the nine months ended September 30, 2026 was primarily due to a decrease in employee costs from cost savings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Income and Expense (in millions, except percentages)</w:t>
      </w:r>
    </w:p>
    <w:tbl>
      <w:tblPr>
        <w:tblW w:w="10205" w:type="dxa"/>
        <w:jc w:val="left"/>
        <w:tblInd w:w="0" w:type="dxa"/>
        <w:tblLayout w:type="fixed"/>
        <w:tblCellMar>
          <w:top w:w="28" w:type="dxa"/>
          <w:left w:w="28" w:type="dxa"/>
          <w:bottom w:w="28" w:type="dxa"/>
          <w:right w:w="28" w:type="dxa"/>
        </w:tblCellMar>
      </w:tblPr>
      <w:tblGrid>
        <w:gridCol w:w="416"/>
        <w:gridCol w:w="333"/>
        <w:gridCol w:w="334"/>
        <w:gridCol w:w="208"/>
        <w:gridCol w:w="495"/>
        <w:gridCol w:w="115"/>
        <w:gridCol w:w="115"/>
        <w:gridCol w:w="115"/>
        <w:gridCol w:w="115"/>
        <w:gridCol w:w="208"/>
        <w:gridCol w:w="524"/>
        <w:gridCol w:w="115"/>
        <w:gridCol w:w="109"/>
        <w:gridCol w:w="109"/>
        <w:gridCol w:w="109"/>
        <w:gridCol w:w="196"/>
        <w:gridCol w:w="466"/>
        <w:gridCol w:w="109"/>
        <w:gridCol w:w="109"/>
        <w:gridCol w:w="109"/>
        <w:gridCol w:w="109"/>
        <w:gridCol w:w="289"/>
        <w:gridCol w:w="290"/>
        <w:gridCol w:w="357"/>
        <w:gridCol w:w="109"/>
        <w:gridCol w:w="109"/>
        <w:gridCol w:w="109"/>
        <w:gridCol w:w="206"/>
        <w:gridCol w:w="491"/>
        <w:gridCol w:w="114"/>
        <w:gridCol w:w="114"/>
        <w:gridCol w:w="114"/>
        <w:gridCol w:w="114"/>
        <w:gridCol w:w="206"/>
        <w:gridCol w:w="520"/>
        <w:gridCol w:w="114"/>
        <w:gridCol w:w="109"/>
        <w:gridCol w:w="109"/>
        <w:gridCol w:w="109"/>
        <w:gridCol w:w="196"/>
        <w:gridCol w:w="466"/>
        <w:gridCol w:w="109"/>
        <w:gridCol w:w="109"/>
        <w:gridCol w:w="109"/>
        <w:gridCol w:w="109"/>
        <w:gridCol w:w="288"/>
        <w:gridCol w:w="291"/>
        <w:gridCol w:w="427"/>
      </w:tblGrid>
      <w:tr>
        <w:tc>
          <w:tcPr>
            <w:tcW w:w="41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expenses: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 (expense), net</w:t>
      </w:r>
    </w:p>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changes in interest income (expense), net for the three and nine months ended September 30, 2026 were primarily due to lower interest expense following the full repayment of our $1,162.5 million term loan facility, including $1,000 million in January 2026 and the remaining $162.5 million in May 2026, as well as the maturity and cash settlement of our Convertible Notes for $258.3 million in May 2026. In addition, the decrease in interest expense reflects the receipt of interest income associated with tariff refunds.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$11.9 million increase in other income (expense), net for the three months ended September 30, 2026 was primarily due to a $15.4 million gain on our investment in Full Swing following the sale of the business, partially offset by a $4.6 million decrease in dividend income on our money market accounts due to lower average balances resulting from funds being used for debt repayments and stock repurchases. </w:t>
      </w:r>
    </w:p>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$14.2 million increase in other income (expense), net for the nine months ended September 30, 2026 was primarily due to a $15.4 million gain on our investment in Full Swing following the sale of the business and a $4.3 million remeasurement gain on our investment in Five Iron Golf, partially offset by a $9.8 million write-off of unamortized debt issuance costs in connection with the repayment of the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Income (Loss) from Equity Method Investments (in millions, except percentages)</w:t>
      </w:r>
    </w:p>
    <w:tbl>
      <w:tblPr>
        <w:tblW w:w="10205" w:type="dxa"/>
        <w:jc w:val="left"/>
        <w:tblInd w:w="0" w:type="dxa"/>
        <w:tblLayout w:type="fixed"/>
        <w:tblCellMar>
          <w:top w:w="28" w:type="dxa"/>
          <w:left w:w="28" w:type="dxa"/>
          <w:bottom w:w="28" w:type="dxa"/>
          <w:right w:w="28" w:type="dxa"/>
        </w:tblCellMar>
      </w:tblPr>
      <w:tblGrid>
        <w:gridCol w:w="563"/>
        <w:gridCol w:w="495"/>
        <w:gridCol w:w="496"/>
        <w:gridCol w:w="216"/>
        <w:gridCol w:w="551"/>
        <w:gridCol w:w="120"/>
        <w:gridCol w:w="120"/>
        <w:gridCol w:w="120"/>
        <w:gridCol w:w="120"/>
        <w:gridCol w:w="216"/>
        <w:gridCol w:w="447"/>
        <w:gridCol w:w="120"/>
        <w:gridCol w:w="109"/>
        <w:gridCol w:w="109"/>
        <w:gridCol w:w="109"/>
        <w:gridCol w:w="196"/>
        <w:gridCol w:w="496"/>
        <w:gridCol w:w="109"/>
        <w:gridCol w:w="109"/>
        <w:gridCol w:w="109"/>
        <w:gridCol w:w="109"/>
        <w:gridCol w:w="220"/>
        <w:gridCol w:w="220"/>
        <w:gridCol w:w="221"/>
        <w:gridCol w:w="109"/>
        <w:gridCol w:w="109"/>
        <w:gridCol w:w="109"/>
        <w:gridCol w:w="213"/>
        <w:gridCol w:w="544"/>
        <w:gridCol w:w="118"/>
        <w:gridCol w:w="118"/>
        <w:gridCol w:w="118"/>
        <w:gridCol w:w="118"/>
        <w:gridCol w:w="213"/>
        <w:gridCol w:w="442"/>
        <w:gridCol w:w="118"/>
        <w:gridCol w:w="109"/>
        <w:gridCol w:w="109"/>
        <w:gridCol w:w="109"/>
        <w:gridCol w:w="196"/>
        <w:gridCol w:w="496"/>
        <w:gridCol w:w="109"/>
        <w:gridCol w:w="109"/>
        <w:gridCol w:w="109"/>
        <w:gridCol w:w="109"/>
        <w:gridCol w:w="206"/>
        <w:gridCol w:w="206"/>
        <w:gridCol w:w="309"/>
      </w:tblGrid>
      <w:t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method investments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16610"/>
                <wp:effectExtent l="0" t="0" r="0" b="0"/>
                <wp:wrapNone/>
                <wp:docPr id="40" name="Frame4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Income (loss) from equity method investments</w:t>
      </w:r>
    </w:p>
    <w:p>
      <w:pPr>
        <w:pStyle w:val="TextBody"/>
        <w:bidi w:val="0"/>
        <w:spacing w:lineRule="auto" w:line="288" w:before="60" w:after="283"/>
        <w:ind w:left="0" w:right="0" w:firstLine="495"/>
        <w:jc w:val="both"/>
      </w:pPr>
      <w:r>
        <w:rPr>
          <w:rFonts w:ascii="Times New Roman;serif" w:hAnsi="Times New Roman;serif"/>
          <w:b w:val="false"/>
          <w:color w:val="000000"/>
          <w:sz w:val="20"/>
        </w:rPr>
        <w:t>The $17.9 million and $46.6 million loss during the three and nine months ended September 30, 2026, respectively, represents</w:t>
      </w:r>
      <w:r>
        <w:rPr>
          <w:color w:val="000000"/>
          <w:shd w:fill="FFFFFF" w:val="clear"/>
        </w:rPr>
        <w:t xml:space="preserve"> </w:t>
      </w: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proportionate share of Topgolf’s net losses following the completion of the sale of a majority interest in the business effective January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Income Taxes (in millions, except percentages)</w:t>
      </w:r>
    </w:p>
    <w:tbl>
      <w:tblPr>
        <w:tblW w:w="10205" w:type="dxa"/>
        <w:jc w:val="left"/>
        <w:tblInd w:w="0" w:type="dxa"/>
        <w:tblLayout w:type="fixed"/>
        <w:tblCellMar>
          <w:top w:w="28" w:type="dxa"/>
          <w:left w:w="28" w:type="dxa"/>
          <w:bottom w:w="28" w:type="dxa"/>
          <w:right w:w="28" w:type="dxa"/>
        </w:tblCellMar>
      </w:tblPr>
      <w:tblGrid>
        <w:gridCol w:w="438"/>
        <w:gridCol w:w="385"/>
        <w:gridCol w:w="388"/>
        <w:gridCol w:w="224"/>
        <w:gridCol w:w="474"/>
        <w:gridCol w:w="124"/>
        <w:gridCol w:w="124"/>
        <w:gridCol w:w="124"/>
        <w:gridCol w:w="124"/>
        <w:gridCol w:w="224"/>
        <w:gridCol w:w="431"/>
        <w:gridCol w:w="124"/>
        <w:gridCol w:w="109"/>
        <w:gridCol w:w="109"/>
        <w:gridCol w:w="109"/>
        <w:gridCol w:w="196"/>
        <w:gridCol w:w="407"/>
        <w:gridCol w:w="109"/>
        <w:gridCol w:w="109"/>
        <w:gridCol w:w="109"/>
        <w:gridCol w:w="109"/>
        <w:gridCol w:w="293"/>
        <w:gridCol w:w="294"/>
        <w:gridCol w:w="357"/>
        <w:gridCol w:w="109"/>
        <w:gridCol w:w="109"/>
        <w:gridCol w:w="109"/>
        <w:gridCol w:w="217"/>
        <w:gridCol w:w="517"/>
        <w:gridCol w:w="120"/>
        <w:gridCol w:w="120"/>
        <w:gridCol w:w="120"/>
        <w:gridCol w:w="120"/>
        <w:gridCol w:w="217"/>
        <w:gridCol w:w="517"/>
        <w:gridCol w:w="120"/>
        <w:gridCol w:w="109"/>
        <w:gridCol w:w="109"/>
        <w:gridCol w:w="109"/>
        <w:gridCol w:w="196"/>
        <w:gridCol w:w="466"/>
        <w:gridCol w:w="109"/>
        <w:gridCol w:w="109"/>
        <w:gridCol w:w="109"/>
        <w:gridCol w:w="109"/>
        <w:gridCol w:w="233"/>
        <w:gridCol w:w="233"/>
        <w:gridCol w:w="425"/>
      </w:tblGrid>
      <w:t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tax expense decreased $3.0 million for the three months ended September 30, 2026 and increased $24.2 million for the nine months ended September 30, 2026. As a percentage of pre-tax income, our effective tax rate for the three months ended September 30, 2026 was (0.6)% compared to (192.9)% in the comparable period of 2025. As a percentage of pre-tax income, our effective tax rate for the nine months ended September 30, 2026 was 25.3% compared to 29.1% in the comparable period of 2025. Our effective tax rate for the three and nine months ended September 30, 2026, was impacted by the valuation allowances related to our investment in Topgolf as well as the gain on the sale of our Full Swing investment, which was offset by available capital loss carryforwards and therefore did not result in incremental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Net Income, Diluted Earnings Per Share and Reconciliation of Non-GAAP Measures</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GAAP results for the three months ended September 30, 2026 and 2025 to our non-GAAP results for the same periods (in millions, except per share information):</w:t>
      </w:r>
    </w:p>
    <w:tbl>
      <w:tblPr>
        <w:tblW w:w="10205" w:type="dxa"/>
        <w:jc w:val="left"/>
        <w:tblInd w:w="0" w:type="dxa"/>
        <w:tblLayout w:type="fixed"/>
        <w:tblCellMar>
          <w:top w:w="28" w:type="dxa"/>
          <w:left w:w="28" w:type="dxa"/>
          <w:bottom w:w="28" w:type="dxa"/>
          <w:right w:w="28" w:type="dxa"/>
        </w:tblCellMar>
      </w:tblPr>
      <w:tblGrid>
        <w:gridCol w:w="1218"/>
        <w:gridCol w:w="513"/>
        <w:gridCol w:w="516"/>
        <w:gridCol w:w="258"/>
        <w:gridCol w:w="613"/>
        <w:gridCol w:w="143"/>
        <w:gridCol w:w="143"/>
        <w:gridCol w:w="143"/>
        <w:gridCol w:w="143"/>
        <w:gridCol w:w="309"/>
        <w:gridCol w:w="735"/>
        <w:gridCol w:w="171"/>
        <w:gridCol w:w="127"/>
        <w:gridCol w:w="127"/>
        <w:gridCol w:w="127"/>
        <w:gridCol w:w="252"/>
        <w:gridCol w:w="641"/>
        <w:gridCol w:w="140"/>
        <w:gridCol w:w="140"/>
        <w:gridCol w:w="140"/>
        <w:gridCol w:w="140"/>
        <w:gridCol w:w="298"/>
        <w:gridCol w:w="767"/>
        <w:gridCol w:w="16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5"/>
      </w:tblGrid>
      <w:tr>
        <w:tc>
          <w:tcPr>
            <w:tcW w:w="121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Diluted Earnings per share</w:t>
            </w:r>
            <w:r>
              <w:rPr>
                <w:rFonts w:ascii="Times New Roman;serif" w:hAnsi="Times New Roman;serif"/>
                <w:b/>
                <w:color w:val="000000"/>
                <w:sz w:val="10"/>
              </w:rPr>
              <w:t>(5)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Diluted Earnings per share</w:t>
            </w:r>
            <w:r>
              <w:rPr>
                <w:rFonts w:ascii="Times New Roman;serif" w:hAnsi="Times New Roman;serif"/>
                <w:b/>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GAAP net income (loss) from continuing operations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18"/>
              </w:rPr>
              <w:t>Non-cash amortization of acquired intangibles</w:t>
            </w:r>
            <w:r>
              <w:rPr>
                <w:rFonts w:ascii="Times New Roman;serif" w:hAnsi="Times New Roman;serif"/>
                <w:b w:val="false"/>
                <w:color w:val="000000"/>
                <w:sz w:val="12"/>
              </w:rPr>
              <w:t>(1)</w:t>
            </w:r>
          </w:p>
        </w:tc>
        <w:tc>
          <w:tcPr>
            <w:tcW w:w="1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pPr>
            <w:r>
              <w:rPr>
                <w:rFonts w:ascii="Times New Roman;serif" w:hAnsi="Times New Roman;serif"/>
                <w:b w:val="false"/>
                <w:color w:val="000000"/>
                <w:sz w:val="18"/>
              </w:rPr>
              <w:t>Interest income (expense) and non-recurring items</w:t>
            </w:r>
            <w:r>
              <w:rPr>
                <w:rFonts w:ascii="Times New Roman;serif" w:hAnsi="Times New Roman;serif"/>
                <w:b w:val="false"/>
                <w:color w:val="000000"/>
                <w:sz w:val="12"/>
              </w:rPr>
              <w:t>(2)(3)</w:t>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pPr>
            <w:r>
              <w:rPr>
                <w:rFonts w:ascii="Times New Roman;serif" w:hAnsi="Times New Roman;serif"/>
                <w:b w:val="false"/>
                <w:color w:val="000000"/>
                <w:sz w:val="18"/>
              </w:rPr>
              <w:t>Income (loss) from equity method investments</w:t>
            </w:r>
            <w:r>
              <w:rPr>
                <w:rFonts w:ascii="Times New Roman;serif" w:hAnsi="Times New Roman;serif"/>
                <w:b w:val="false"/>
                <w:color w:val="000000"/>
                <w:sz w:val="12"/>
              </w:rPr>
              <w:t>(4)</w:t>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Non-GAAP net income (loss) from continuing operations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c>
          <w:tcPr>
            <w:tcW w:w="2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weighted-average shares outstanding</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c>
          <w:tcPr>
            <w:tcW w:w="2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weighted-average shares outstanding</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Includes the amortization of acquired intangible assets, including customer and distributor relationships, reacquired distribution rights and acquired developed technology related to our Acquisitions. See “Discussion of Non-GAAP Measures” for more information.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10"/>
              </w:rPr>
              <w:t xml:space="preserve">(2) </w:t>
            </w:r>
            <w:r>
              <w:rPr>
                <w:rFonts w:ascii="Times New Roman;serif" w:hAnsi="Times New Roman;serif"/>
                <w:b w:val="false"/>
                <w:color w:val="000000"/>
                <w:sz w:val="16"/>
              </w:rPr>
              <w:t>In 2026, amounts primarily include $31.8 million of tariff refunds, $1.7 million of related interest income, and a $15.4 million gain on our investment in Full Swing following the sale of the business, partially offset by $1.6 million of costs incurred related to the relocation to a new UK warehouse following the sale of the Jack Wolfskin business in 2025 and $0.3 million of restructuring charges associated with the Transformation Plan. In addition, for 2026, non-recurring items include $1.0 million of costs incurred under the Transition Services Agreement with Topgolf, which are offset by $1.0 million of cost recovery fees received from Topgolf related to these transition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 xml:space="preserve">(3) </w:t>
            </w:r>
            <w:r>
              <w:rPr>
                <w:rFonts w:ascii="Times New Roman;serif" w:hAnsi="Times New Roman;serif"/>
                <w:b w:val="false"/>
                <w:color w:val="000000"/>
                <w:sz w:val="16"/>
              </w:rPr>
              <w:t>In 2025, amounts primarily include $0.2 million of restructuring charges related to the Transformation Plan. In addition, $9.7 million of term loan interest expense incurred at the corporate level and included in discontinued operations on a GAAP basis is reflected as part of continuing operations on a non-GAAP basis in order to show the full effect of consolidated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7"/>
            <w:tcBorders/>
          </w:tcPr>
          <w:p>
            <w:pPr>
              <w:pStyle w:val="TableContents"/>
              <w:bidi w:val="0"/>
              <w:spacing w:before="0" w:after="283"/>
              <w:jc w:val="left"/>
              <w:rPr>
                <w:sz w:val="4"/>
                <w:szCs w:val="4"/>
              </w:rPr>
            </w:pPr>
            <w:r>
              <w:rPr>
                <w:sz w:val="4"/>
                <w:szCs w:val="4"/>
              </w:rPr>
            </w:r>
          </w:p>
        </w:tc>
      </w:tr>
      <w:tr>
        <w:tc>
          <w:tcPr>
            <w:tcW w:w="7969"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 2026, amounts include our $17.9 million proportionate share of Topgolf’s net losses combined with $4.1 million of favorable tax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24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gridSpan w:val="7"/>
            <w:tcBorders/>
          </w:tcPr>
          <w:p>
            <w:pPr>
              <w:pStyle w:val="TableContents"/>
              <w:bidi w:val="0"/>
              <w:spacing w:before="0" w:after="283"/>
              <w:jc w:val="left"/>
              <w:rPr>
                <w:sz w:val="4"/>
                <w:szCs w:val="4"/>
              </w:rPr>
            </w:pPr>
            <w:r>
              <w:rPr>
                <w:sz w:val="4"/>
                <w:szCs w:val="4"/>
              </w:rPr>
            </w:r>
          </w:p>
        </w:tc>
      </w:tr>
      <w:tr>
        <w:tc>
          <w:tcPr>
            <w:tcW w:w="7969"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When aggregated, diluted earnings per share amounts may not be additive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16610"/>
                <wp:effectExtent l="0" t="0" r="0" b="0"/>
                <wp:wrapNone/>
                <wp:docPr id="41" name="Frame4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9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GAAP net income from continuing operations</w:t>
      </w:r>
    </w:p>
    <w:p>
      <w:pPr>
        <w:pStyle w:val="TextBody"/>
        <w:bidi w:val="0"/>
        <w:spacing w:lineRule="auto" w:line="288" w:before="60" w:after="283"/>
        <w:ind w:left="0" w:right="0" w:firstLine="495"/>
        <w:jc w:val="both"/>
      </w:pPr>
      <w:r>
        <w:rPr>
          <w:rFonts w:ascii="Times New Roman;serif" w:hAnsi="Times New Roman;serif"/>
          <w:b w:val="false"/>
          <w:color w:val="000000"/>
          <w:sz w:val="20"/>
          <w:shd w:fill="FFFFFF" w:val="clear"/>
        </w:rPr>
        <w:t xml:space="preserve">Net income from continuing operations and diluted earnings per share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2026 were $48.1 million and </w:t>
      </w:r>
      <w:r>
        <w:rPr>
          <w:rFonts w:ascii="Times New Roman;serif" w:hAnsi="Times New Roman;serif"/>
          <w:b w:val="false"/>
          <w:color w:val="000000"/>
          <w:sz w:val="20"/>
        </w:rPr>
        <w:t xml:space="preserve">$0.26 per share, respectively, as compared to net loss from continuing operations and diluted loss per share of $4.1 million and $0.02 per share, respectively, for the three months ended September 30, 2025. These increases were primarily driven by the recognition of $33.5 million of tariff refunds in the current quarter, the recognition of a $15.4 million gain on our investment in Full Swing following the sale of the business, a reduction in interest expense resulting from the full repayment of our term loan debt and the settlement of the Convertible Notes, a $9.7 million increase in segment operating income, and a decrease in the income tax provision (benefit). These increases were partially offset by the loss recognized from our equity method investment in Topgolf. </w:t>
      </w:r>
    </w:p>
    <w:p>
      <w:pPr>
        <w:pStyle w:val="TextBody"/>
        <w:bidi w:val="0"/>
        <w:spacing w:lineRule="auto" w:line="288" w:before="120" w:after="283"/>
        <w:ind w:left="0" w:right="0" w:firstLine="49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Non-GAAP net income from continuing operations</w:t>
      </w:r>
    </w:p>
    <w:p>
      <w:pPr>
        <w:pStyle w:val="TextBody"/>
        <w:bidi w:val="0"/>
        <w:spacing w:lineRule="auto" w:line="288" w:before="60" w:after="283"/>
        <w:ind w:left="0" w:right="0" w:firstLine="495"/>
        <w:jc w:val="both"/>
      </w:pPr>
      <w:r>
        <w:rPr>
          <w:rFonts w:ascii="Times New Roman;serif" w:hAnsi="Times New Roman;serif"/>
          <w:b w:val="false"/>
          <w:color w:val="000000"/>
          <w:sz w:val="20"/>
          <w:shd w:fill="FFFFFF" w:val="clear"/>
        </w:rPr>
        <w:t xml:space="preserve">On a non-GAAP basis, excluding the items described in the table above, our net income from continuing operations and diluted earnings per share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2026 would have been $22.9 million and </w:t>
      </w:r>
      <w:r>
        <w:rPr>
          <w:rFonts w:ascii="Times New Roman;serif" w:hAnsi="Times New Roman;serif"/>
          <w:b w:val="false"/>
          <w:color w:val="000000"/>
          <w:sz w:val="20"/>
        </w:rPr>
        <w:t>$0.12 per share, respectively,</w:t>
      </w:r>
      <w:r>
        <w:rPr>
          <w:color w:val="000000"/>
          <w:shd w:fill="FFFFFF" w:val="clear"/>
        </w:rPr>
        <w:t xml:space="preserve"> </w:t>
      </w:r>
      <w:r>
        <w:rPr>
          <w:rFonts w:ascii="Times New Roman;serif" w:hAnsi="Times New Roman;serif"/>
          <w:b w:val="false"/>
          <w:color w:val="000000"/>
          <w:sz w:val="20"/>
          <w:shd w:fill="FFFFFF" w:val="clear"/>
        </w:rPr>
        <w:t>as compared to net loss from continuing operations and diluted loss per share of $11.1 million</w:t>
      </w:r>
      <w:r>
        <w:rPr>
          <w:color w:val="000000"/>
        </w:rPr>
        <w:t xml:space="preserve"> </w:t>
      </w:r>
      <w:r>
        <w:rPr>
          <w:rFonts w:ascii="Times New Roman;serif" w:hAnsi="Times New Roman;serif"/>
          <w:b w:val="false"/>
          <w:color w:val="000000"/>
          <w:sz w:val="20"/>
        </w:rPr>
        <w:t>and $0.06 per share, respectively, for the</w:t>
      </w:r>
      <w:r>
        <w:rPr>
          <w:color w:val="000000"/>
          <w:shd w:fill="FFFFFF" w:val="clear"/>
        </w:rPr>
        <w:t xml:space="preserv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month</w:t>
      </w:r>
      <w:r>
        <w:rPr>
          <w:rFonts w:ascii="Times New Roman;serif" w:hAnsi="Times New Roman;serif"/>
          <w:b w:val="false"/>
          <w:color w:val="000000"/>
          <w:sz w:val="20"/>
        </w:rPr>
        <w:t xml:space="preserve">s ended September 30, 2025. The increase in non-GAAP net income from continuing operations was primarily due to lower interest expense, a $9.7 million increase in segment operating income, and a decrease in the income tax provision. </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GAAP results for the nine months ended September 30, 2026 and 2025 to our non-GAAP results for the same periods (in millions, except per share information):</w:t>
      </w:r>
    </w:p>
    <w:tbl>
      <w:tblPr>
        <w:tblW w:w="10205" w:type="dxa"/>
        <w:jc w:val="left"/>
        <w:tblInd w:w="0" w:type="dxa"/>
        <w:tblLayout w:type="fixed"/>
        <w:tblCellMar>
          <w:top w:w="28" w:type="dxa"/>
          <w:left w:w="28" w:type="dxa"/>
          <w:bottom w:w="28" w:type="dxa"/>
          <w:right w:w="28" w:type="dxa"/>
        </w:tblCellMar>
      </w:tblPr>
      <w:tblGrid>
        <w:gridCol w:w="1199"/>
        <w:gridCol w:w="485"/>
        <w:gridCol w:w="487"/>
        <w:gridCol w:w="249"/>
        <w:gridCol w:w="706"/>
        <w:gridCol w:w="138"/>
        <w:gridCol w:w="138"/>
        <w:gridCol w:w="138"/>
        <w:gridCol w:w="138"/>
        <w:gridCol w:w="306"/>
        <w:gridCol w:w="728"/>
        <w:gridCol w:w="169"/>
        <w:gridCol w:w="126"/>
        <w:gridCol w:w="126"/>
        <w:gridCol w:w="126"/>
        <w:gridCol w:w="249"/>
        <w:gridCol w:w="706"/>
        <w:gridCol w:w="138"/>
        <w:gridCol w:w="138"/>
        <w:gridCol w:w="138"/>
        <w:gridCol w:w="138"/>
        <w:gridCol w:w="306"/>
        <w:gridCol w:w="728"/>
        <w:gridCol w:w="16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5"/>
      </w:tblGrid>
      <w:tr>
        <w:tc>
          <w:tcPr>
            <w:tcW w:w="119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Diluted Earnings per share</w:t>
            </w:r>
            <w:r>
              <w:rPr>
                <w:rFonts w:ascii="Times New Roman;serif" w:hAnsi="Times New Roman;serif"/>
                <w:b/>
                <w:color w:val="000000"/>
                <w:sz w:val="10"/>
              </w:rPr>
              <w:t>(6)(7)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Diluted Earnings per share</w:t>
            </w:r>
            <w:r>
              <w:rPr>
                <w:rFonts w:ascii="Times New Roman;serif" w:hAnsi="Times New Roman;serif"/>
                <w:b/>
                <w:color w:val="000000"/>
                <w:sz w:val="1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GAAP net income (loss) from continuing operations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18"/>
              </w:rPr>
              <w:t>Non-cash amortization of acquired intangibles</w:t>
            </w:r>
            <w:r>
              <w:rPr>
                <w:rFonts w:ascii="Times New Roman;serif" w:hAnsi="Times New Roman;serif"/>
                <w:b w:val="false"/>
                <w:color w:val="000000"/>
                <w:sz w:val="12"/>
              </w:rPr>
              <w:t>(1)</w:t>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pPr>
            <w:r>
              <w:rPr>
                <w:rFonts w:ascii="Times New Roman;serif" w:hAnsi="Times New Roman;serif"/>
                <w:b w:val="false"/>
                <w:color w:val="000000"/>
                <w:sz w:val="18"/>
              </w:rPr>
              <w:t>Interest income (expense) and non-recurring items</w:t>
            </w:r>
            <w:r>
              <w:rPr>
                <w:rFonts w:ascii="Times New Roman;serif" w:hAnsi="Times New Roman;serif"/>
                <w:b w:val="false"/>
                <w:color w:val="000000"/>
                <w:sz w:val="12"/>
              </w:rPr>
              <w:t>(2)(3)</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pPr>
            <w:r>
              <w:rPr>
                <w:rFonts w:ascii="Times New Roman;serif" w:hAnsi="Times New Roman;serif"/>
                <w:b w:val="false"/>
                <w:color w:val="000000"/>
                <w:sz w:val="18"/>
              </w:rPr>
              <w:t>Tax valuation allowance</w:t>
            </w:r>
            <w:r>
              <w:rPr>
                <w:rFonts w:ascii="Times New Roman;serif" w:hAnsi="Times New Roman;serif"/>
                <w:b w:val="false"/>
                <w:color w:val="000000"/>
                <w:sz w:val="12"/>
              </w:rPr>
              <w:t>(4)</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pPr>
            <w:r>
              <w:rPr>
                <w:rFonts w:ascii="Times New Roman;serif" w:hAnsi="Times New Roman;serif"/>
                <w:b w:val="false"/>
                <w:color w:val="000000"/>
                <w:sz w:val="18"/>
              </w:rPr>
              <w:t>Income (loss) from equity method investments</w:t>
            </w:r>
            <w:r>
              <w:rPr>
                <w:rFonts w:ascii="Times New Roman;serif" w:hAnsi="Times New Roman;serif"/>
                <w:b w:val="false"/>
                <w:color w:val="000000"/>
                <w:sz w:val="12"/>
              </w:rPr>
              <w:t>(5)</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Non-GAAP net income (loss) from continuing operations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weighted-average shares outstanding</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90"/>
              <w:jc w:val="left"/>
              <w:rPr>
                <w:sz w:val="4"/>
                <w:szCs w:val="4"/>
              </w:rPr>
            </w:pPr>
            <w:r>
              <w:rPr>
                <w:sz w:val="4"/>
                <w:szCs w:val="4"/>
              </w:rPr>
            </w:r>
          </w:p>
        </w:tc>
      </w:tr>
      <w:t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weighted-average shares outstanding</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2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Includes the amortization of acquired intangible assets, including customer and distributor relationships, reacquired distribution rights and acquired developed technology related to our Acquisitions. See “Discussion of Non-GAAP Measures” for more information.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tcMar>
              <w:top w:w="0" w:type="dxa"/>
              <w:left w:w="0" w:type="dxa"/>
              <w:bottom w:w="0" w:type="dxa"/>
              <w:right w:w="0" w:type="dxa"/>
            </w:tcMar>
            <w:vAlign w:val="center"/>
          </w:tcPr>
          <w:p>
            <w:pPr>
              <w:pStyle w:val="TableContents"/>
              <w:bidi w:val="0"/>
              <w:spacing w:lineRule="auto" w:line="240" w:before="40" w:after="283"/>
              <w:ind w:left="0" w:right="0" w:hanging="180"/>
              <w:jc w:val="both"/>
            </w:pPr>
            <w:r>
              <w:rPr>
                <w:rFonts w:ascii="Times New Roman;serif" w:hAnsi="Times New Roman;serif"/>
                <w:b w:val="false"/>
                <w:color w:val="000000"/>
                <w:sz w:val="10"/>
              </w:rPr>
              <w:t xml:space="preserve">(2) </w:t>
            </w:r>
            <w:r>
              <w:rPr>
                <w:rFonts w:ascii="Times New Roman;serif" w:hAnsi="Times New Roman;serif"/>
                <w:b w:val="false"/>
                <w:color w:val="000000"/>
                <w:sz w:val="16"/>
              </w:rPr>
              <w:t>In 2026, amounts primarily include $42.6 million of tariff refunds, $1.7 million of related interest income, a $15.4 million gain on our investment in Full Swing following the sale of the business, and a $4.3 million gain on our investment in Five Iron Golf, partially offset by $9.8 million of write-offs of debt issuance costs associated with the January and May 2026 repayments of our term loan, $3.2 million of costs incurred to relocate to a new UK warehouse following the sale of the Jack Wolfskin business in 2025, $1.5 million of costs associated with the Transformation Plan, and a $0.7 million write-off of software assets stemming from the separation from Topgolf. In addition, non-recurring items for 2026 include $3.3 million of costs incurred under the Transition Services Agreement with Topgolf, which were fully offset by $3.3 million of cost recovery fees received from Topgolf related to those transition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 xml:space="preserve">(3) </w:t>
            </w:r>
            <w:r>
              <w:rPr>
                <w:rFonts w:ascii="Times New Roman;serif" w:hAnsi="Times New Roman;serif"/>
                <w:b w:val="false"/>
                <w:color w:val="000000"/>
                <w:sz w:val="16"/>
              </w:rPr>
              <w:t>In 2025, amounts primarily include $1.4 million of costs associated with the Transformation Plan and costs incurred to centralize warehousing and distribution operations to achieve synergies in connection with our acquisitions. In addition, $28.8 million of term loan interest expense incurred at the corporate level and included in discontinued operations on a GAAP basis is reflected as part of continuing operations on a non-GAAP basis in order to show the full effect of consolidated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Related to the release of valuation allowances on certain U.S. deferred tax assets related to the disposal of the Topgolf and Jack Wolfskin businesses.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 2026, amounts include our $46.6 million proportionate share of Topgolf’s net losses combined with $2.5 million of unfavorable tax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 xml:space="preserve">(6) </w:t>
            </w:r>
            <w:r>
              <w:rPr>
                <w:rFonts w:ascii="Times New Roman;serif" w:hAnsi="Times New Roman;serif"/>
                <w:b w:val="false"/>
                <w:color w:val="000000"/>
                <w:sz w:val="16"/>
              </w:rPr>
              <w:t xml:space="preserve">The effect of the Convertible Notes on diluted earnings per share is calculated using the if-converted method, which excludes interest expense related to the Convertible Notes from the calculation of net income through the cash settlement date of May 1, 2026.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7969"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When aggregated, diluted earnings per share amounts may not be additive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16610"/>
                <wp:effectExtent l="0" t="0" r="0" b="0"/>
                <wp:wrapNone/>
                <wp:docPr id="42" name="Frame4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9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GAAP net income from continuing operations</w:t>
      </w:r>
    </w:p>
    <w:p>
      <w:pPr>
        <w:pStyle w:val="TextBody"/>
        <w:bidi w:val="0"/>
        <w:spacing w:lineRule="auto" w:line="288" w:before="60" w:after="283"/>
        <w:ind w:left="0" w:right="0" w:firstLine="495"/>
        <w:jc w:val="both"/>
      </w:pPr>
      <w:r>
        <w:rPr>
          <w:rFonts w:ascii="Times New Roman;serif" w:hAnsi="Times New Roman;serif"/>
          <w:b w:val="false"/>
          <w:color w:val="000000"/>
          <w:sz w:val="20"/>
          <w:shd w:fill="FFFFFF" w:val="clear"/>
        </w:rPr>
        <w:t xml:space="preserve">Net income from continuing operations and diluted earnings per share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2026 were $198.8 million and </w:t>
      </w:r>
      <w:r>
        <w:rPr>
          <w:rFonts w:ascii="Times New Roman;serif" w:hAnsi="Times New Roman;serif"/>
          <w:b w:val="false"/>
          <w:color w:val="000000"/>
          <w:sz w:val="20"/>
        </w:rPr>
        <w:t>$1.05 per share, respectively,</w:t>
      </w:r>
      <w:r>
        <w:rPr>
          <w:color w:val="000000"/>
          <w:shd w:fill="FFFFFF" w:val="clear"/>
        </w:rPr>
        <w:t xml:space="preserve"> </w:t>
      </w:r>
      <w:r>
        <w:rPr>
          <w:rFonts w:ascii="Times New Roman;serif" w:hAnsi="Times New Roman;serif"/>
          <w:b w:val="false"/>
          <w:color w:val="000000"/>
          <w:sz w:val="20"/>
          <w:shd w:fill="FFFFFF" w:val="clear"/>
        </w:rPr>
        <w:t>as compared to net income from continuing operations and diluted earnings per share of $104.8 million</w:t>
      </w:r>
      <w:r>
        <w:rPr>
          <w:color w:val="000000"/>
        </w:rPr>
        <w:t xml:space="preserve"> </w:t>
      </w:r>
      <w:r>
        <w:rPr>
          <w:rFonts w:ascii="Times New Roman;serif" w:hAnsi="Times New Roman;serif"/>
          <w:b w:val="false"/>
          <w:color w:val="000000"/>
          <w:sz w:val="20"/>
        </w:rPr>
        <w:t xml:space="preserve">and $0.55 per share, respectively, for the nine months ended September 30, 2025. These increases were primarily driven by a $70.3 million increase in segment operating income, the recognition of $44.3 million related to the tariff refunds in the current period, the recognition of a $15.4 million gain on our investment in Full Swing following the sale of the business, and a reduction in interest expense resulting from the full repayment of our term loan debt and the settlement of the Convertible Notes. These increases were partially offset by the loss recognized from our equity method investment in Topgolf and an increase in the income tax provision. </w:t>
      </w:r>
    </w:p>
    <w:p>
      <w:pPr>
        <w:pStyle w:val="TextBody"/>
        <w:bidi w:val="0"/>
        <w:spacing w:lineRule="auto" w:line="288" w:before="120" w:after="283"/>
        <w:ind w:left="0" w:right="0" w:firstLine="49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Non-GAAP net income from continuing operations</w:t>
      </w:r>
    </w:p>
    <w:p>
      <w:pPr>
        <w:pStyle w:val="TextBody"/>
        <w:bidi w:val="0"/>
        <w:spacing w:lineRule="auto" w:line="288" w:before="60" w:after="283"/>
        <w:ind w:left="0" w:right="0" w:firstLine="495"/>
        <w:jc w:val="both"/>
      </w:pPr>
      <w:r>
        <w:rPr>
          <w:rFonts w:ascii="Times New Roman;serif" w:hAnsi="Times New Roman;serif"/>
          <w:b w:val="false"/>
          <w:color w:val="000000"/>
          <w:sz w:val="20"/>
          <w:shd w:fill="FFFFFF" w:val="clear"/>
        </w:rPr>
        <w:t xml:space="preserve">On a non-GAAP basis, excluding the items described in the table above, our net income from continuing operations and diluted earnings per share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2026 would have been $208.5 million and </w:t>
      </w:r>
      <w:r>
        <w:rPr>
          <w:rFonts w:ascii="Times New Roman;serif" w:hAnsi="Times New Roman;serif"/>
          <w:b w:val="false"/>
          <w:color w:val="000000"/>
          <w:sz w:val="20"/>
        </w:rPr>
        <w:t>$1.10 per share, respectively,</w:t>
      </w:r>
      <w:r>
        <w:rPr>
          <w:color w:val="000000"/>
          <w:shd w:fill="FFFFFF" w:val="clear"/>
        </w:rPr>
        <w:t xml:space="preserve"> </w:t>
      </w:r>
      <w:r>
        <w:rPr>
          <w:rFonts w:ascii="Times New Roman;serif" w:hAnsi="Times New Roman;serif"/>
          <w:b w:val="false"/>
          <w:color w:val="000000"/>
          <w:sz w:val="20"/>
          <w:shd w:fill="FFFFFF" w:val="clear"/>
        </w:rPr>
        <w:t>as compared to net income from continuing ope</w:t>
      </w:r>
      <w:r>
        <w:rPr>
          <w:rFonts w:ascii="Times New Roman;serif" w:hAnsi="Times New Roman;serif"/>
          <w:b w:val="false"/>
          <w:color w:val="000000"/>
          <w:sz w:val="20"/>
        </w:rPr>
        <w:t xml:space="preserve">rations and diluted earnings per share of $84.9 million and $0.45 per share, respectively, for the nine months ended September 30, 2025. The increase in non-GAAP net income from continuing operations was primarily due to a $70.3 million increase in segment operating income combined with lower interest expense, partially offset by an increase in the income tax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Discontinued Operations (in millions, except percentages)</w:t>
      </w:r>
    </w:p>
    <w:tbl>
      <w:tblPr>
        <w:tblW w:w="10205" w:type="dxa"/>
        <w:jc w:val="left"/>
        <w:tblInd w:w="0" w:type="dxa"/>
        <w:tblLayout w:type="fixed"/>
        <w:tblCellMar>
          <w:top w:w="28" w:type="dxa"/>
          <w:left w:w="28" w:type="dxa"/>
          <w:bottom w:w="28" w:type="dxa"/>
          <w:right w:w="28" w:type="dxa"/>
        </w:tblCellMar>
      </w:tblPr>
      <w:tblGrid>
        <w:gridCol w:w="483"/>
        <w:gridCol w:w="424"/>
        <w:gridCol w:w="426"/>
        <w:gridCol w:w="204"/>
        <w:gridCol w:w="416"/>
        <w:gridCol w:w="113"/>
        <w:gridCol w:w="113"/>
        <w:gridCol w:w="113"/>
        <w:gridCol w:w="113"/>
        <w:gridCol w:w="204"/>
        <w:gridCol w:w="510"/>
        <w:gridCol w:w="113"/>
        <w:gridCol w:w="109"/>
        <w:gridCol w:w="109"/>
        <w:gridCol w:w="109"/>
        <w:gridCol w:w="196"/>
        <w:gridCol w:w="376"/>
        <w:gridCol w:w="109"/>
        <w:gridCol w:w="109"/>
        <w:gridCol w:w="109"/>
        <w:gridCol w:w="109"/>
        <w:gridCol w:w="243"/>
        <w:gridCol w:w="244"/>
        <w:gridCol w:w="357"/>
        <w:gridCol w:w="109"/>
        <w:gridCol w:w="109"/>
        <w:gridCol w:w="109"/>
        <w:gridCol w:w="202"/>
        <w:gridCol w:w="482"/>
        <w:gridCol w:w="112"/>
        <w:gridCol w:w="112"/>
        <w:gridCol w:w="112"/>
        <w:gridCol w:w="112"/>
        <w:gridCol w:w="202"/>
        <w:gridCol w:w="506"/>
        <w:gridCol w:w="112"/>
        <w:gridCol w:w="109"/>
        <w:gridCol w:w="109"/>
        <w:gridCol w:w="109"/>
        <w:gridCol w:w="196"/>
        <w:gridCol w:w="556"/>
        <w:gridCol w:w="109"/>
        <w:gridCol w:w="109"/>
        <w:gridCol w:w="109"/>
        <w:gridCol w:w="109"/>
        <w:gridCol w:w="288"/>
        <w:gridCol w:w="289"/>
        <w:gridCol w:w="423"/>
      </w:tblGrid>
      <w:t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Growth/(Decline)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Loss of $2.4 million from discontinued operations, net of tax, for the three months ended September 30, 2026 was related to an adjustment to the income tax benefit recognized in connection with the sale of Topgolf, effective January 1, 2026. Income of $15.2 million, net of tax from discontinued operations for the nine months ended September 30, 2026, was primarily related to the recognition of an income tax benefit in connection with the sale of Topgolf, partially offset by transaction costs directly related to the completion of the sale as well as the settlement of certain indemnification obligations. The $10.6 million and $97.1 million loss from discontinued operations, net of tax for the three and nine months ended September 30, 2025, respectively, was due to net operating losses of both Topgolf and Jack Wolfskin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and cash equivalents</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decreased $469.7 million to $433.5 million at September 30, 2026 as compared to December 31, 2025 and decreased $432.1 million compared to September 30, 2025. These decreases primarily resulted from cash used in financing activities from continuing operations, largely reflecting the full repayment of our 2023 Term Loan B facility and the cash settlement of our Convertible Notes during May 2026, which were funded by cash proceeds from the sale of Topgolf and cash on hand. In addition, we used our cash and cash equivalents to repurchase shares of our common stock pursuant to our stock repurchase program. Cash provided by operating activities from continuing operations increased due to the strong performance of the business in the nine months ended September 30, 2026, and also reflects the favorable impact from the receipt of tariff refunds. For further information related to our financing arrangements, see Note 6 “Financing Arrangements” in the Notes to Condensed Consolidated Financial Statements in Part I, Item 1 and “Liquidity and Capital Resources” in Part I, Item 2 of this Form 10-Q.</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16610"/>
                <wp:effectExtent l="0" t="0" r="0" b="0"/>
                <wp:wrapNone/>
                <wp:docPr id="43" name="Frame4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Accounts receivable </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accounts receivable balance fluctuates throughout the year as a result of the general seasonality of our business, and is also affected by the timing of new product launches. With respect to our Golf Equipment business, accounts receivable are generally the highest during the first and second quarters during the seasonal peak in the golf industry, and generally decline significantly during the third and fourth quarters as a result of an increase in cash collections combined with lower seasonal sales. With respect to our Apparel, Gear and Other business, accounts receivable balances for our TravisMathew and OGIO businesses are more evenly distributed throughout the year while accounts receivable balances for our Callaway-branded soft goods are subject to the same general seasonality as our Golf Equipment business. As of September 30, 2026, our consolidated net accounts receivable increased to $186.0 million from $123.2 million at December 31, 2025. The increase primarily reflects the seasonality of Golf Equipment net sales in the first and second quarters. Net accounts receivable as of September 30, 2026 decreased $25.1 million compared to September 30, 2025, primarily due to lower net sales in the third quarter of 2026 compared to 2025 combined with improved cash collections.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Inventory</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inventory balance fluctuates throughout the year as a result of the general seasonality of our Golf Equipment business, and is also affected by the timing of new product launches and success of new products. With respect to our Golf Equipment business, the buildup of inventory generally begins during the third quarter and continues into the first quarter in order to meet increased demand for the golf season. With respect to our Apparel, Gear and Other business, inventory levels are generally less affected by seasonality due to the diversification of product offerings for our brands. As of September 30, 2026, our inventory decreased $89.1 million to $536.2 million, compared to December 31, 2025, which reflects our seasonality. Our inventory increased $5.4 million as of September 30, 2026, compared to September 30, 2025, primarily due to higher Golf Equipment inventory to support demand and inventory requirements heading into next year, partially offset by lower Apparel, Gear and Other inventory due to product sell through.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consist of our existing cash and cash equivalents, funds expected to be generated from operations and funds from our credit facilities. Based upon our current cash balances, our estimates of funds expected to be generated from operations, as well as from current and projected availability under our current credit facilities, we believe that we will be able to finance current and planned operating requirements, capital expenditures, required debt repayments and contractual obligations and commercial commitments for at least the next 12 months from the issuance date of this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sufficient positive cash flows from operations is subject to many risks and uncertainties, including future economic trends and conditions, demand for our products, supply chain challenges, price inflation, foreign currency exchange rates, and other risks and uncertainties applicable to us and our business (see “Risk Factors” contained in Part I, Item 1A of our Annual Report on Form 10-K for the year ended December 31, 2025).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we had $815.1 million in combined cash and availability under our credit facilities, which is a decrease of $440.9 million compared to September 30, 2025 following the full repayment of our 2023 Term Loan B facility and the cash settlement of our Convertible Notes in May 2026, combined with repurchases of shares of our common stock pursuant to our stock repurchase program. Information about our credit facilities and long-term debt is presented in Note 6 “Financing Arrangements” in the Notes to Condensed Consolidated Financial Statements included in Part I, Item 1 of this Form 10-Q, which is incorporated herein by this reference.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2026, approximately 25% of our cash was held in regions outside of the United States. We continue to maintain our indefinite reinvestment assertion with respect to most jurisdictions in which we operate because of local cash requirements to operate our business. If we were to repatriate cash to the United States outside of settling intercompany balances, we may need to pay incremental foreign withholding taxes which, subject to certain limitations, generate foreign tax credits for use against our U.S. tax liability, if any. Additionally, we may need to pay certain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16610"/>
                <wp:effectExtent l="0" t="0" r="0" b="0"/>
                <wp:wrapNone/>
                <wp:docPr id="44" name="Frame4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Significant cash obligations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plan to utilize our liquidity (as described above) and our cash flows from business operations to fund our material cash requirements. The table below summarizes certain significant cash obligations as of September 30, 2026 that will affect our future liquidity (in millions):</w:t>
      </w:r>
    </w:p>
    <w:tbl>
      <w:tblPr>
        <w:tblW w:w="10205" w:type="dxa"/>
        <w:jc w:val="left"/>
        <w:tblInd w:w="0" w:type="dxa"/>
        <w:tblLayout w:type="fixed"/>
        <w:tblCellMar>
          <w:top w:w="28" w:type="dxa"/>
          <w:left w:w="28" w:type="dxa"/>
          <w:bottom w:w="28" w:type="dxa"/>
          <w:right w:w="28" w:type="dxa"/>
        </w:tblCellMar>
      </w:tblPr>
      <w:tblGrid>
        <w:gridCol w:w="1177"/>
        <w:gridCol w:w="762"/>
        <w:gridCol w:w="779"/>
        <w:gridCol w:w="249"/>
        <w:gridCol w:w="709"/>
        <w:gridCol w:w="138"/>
        <w:gridCol w:w="138"/>
        <w:gridCol w:w="138"/>
        <w:gridCol w:w="138"/>
        <w:gridCol w:w="341"/>
        <w:gridCol w:w="812"/>
        <w:gridCol w:w="191"/>
        <w:gridCol w:w="138"/>
        <w:gridCol w:w="138"/>
        <w:gridCol w:w="138"/>
        <w:gridCol w:w="258"/>
        <w:gridCol w:w="733"/>
        <w:gridCol w:w="143"/>
        <w:gridCol w:w="138"/>
        <w:gridCol w:w="138"/>
        <w:gridCol w:w="138"/>
        <w:gridCol w:w="267"/>
        <w:gridCol w:w="634"/>
        <w:gridCol w:w="148"/>
        <w:gridCol w:w="138"/>
        <w:gridCol w:w="138"/>
        <w:gridCol w:w="138"/>
        <w:gridCol w:w="256"/>
        <w:gridCol w:w="728"/>
        <w:gridCol w:w="224"/>
      </w:tblGrid>
      <w:tr>
        <w:tc>
          <w:tcPr>
            <w:tcW w:w="117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2027 - 2028</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2029 - 2030</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Debt </w:t>
            </w:r>
            <w:r>
              <w:rPr>
                <w:rFonts w:ascii="Times New Roman;serif" w:hAnsi="Times New Roman;serif"/>
                <w:b w:val="false"/>
                <w:color w:val="000000"/>
                <w:sz w:val="12"/>
              </w:rPr>
              <w:t>(1)</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Interest payments </w:t>
            </w:r>
            <w:r>
              <w:rPr>
                <w:rFonts w:ascii="Times New Roman;serif" w:hAnsi="Times New Roman;serif"/>
                <w:b w:val="false"/>
                <w:color w:val="000000"/>
                <w:sz w:val="12"/>
              </w:rPr>
              <w:t>(2)</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Financing leases, including imputed interest </w:t>
            </w:r>
            <w:r>
              <w:rPr>
                <w:rFonts w:ascii="Times New Roman;serif" w:hAnsi="Times New Roman;serif"/>
                <w:b w:val="false"/>
                <w:color w:val="000000"/>
                <w:sz w:val="12"/>
              </w:rPr>
              <w:t>(3)</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Operating leases, including imputed interest </w:t>
            </w:r>
            <w:r>
              <w:rPr>
                <w:rFonts w:ascii="Times New Roman;serif" w:hAnsi="Times New Roman;serif"/>
                <w:b w:val="false"/>
                <w:color w:val="000000"/>
                <w:sz w:val="12"/>
              </w:rPr>
              <w:t>(4)</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pPr>
            <w:r>
              <w:rPr>
                <w:rFonts w:ascii="Times New Roman;serif" w:hAnsi="Times New Roman;serif"/>
                <w:b w:val="false"/>
                <w:color w:val="000000"/>
                <w:sz w:val="18"/>
              </w:rPr>
              <w:t xml:space="preserve">Minimum lease payments for leases signed but not yet commenced </w:t>
            </w:r>
            <w:r>
              <w:rPr>
                <w:rFonts w:ascii="Times New Roman;serif" w:hAnsi="Times New Roman;serif"/>
                <w:b w:val="false"/>
                <w:color w:val="000000"/>
                <w:sz w:val="12"/>
              </w:rPr>
              <w:t>(5)</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Unconditional purchase obligations </w:t>
            </w:r>
            <w:r>
              <w:rPr>
                <w:rFonts w:ascii="Times New Roman;serif" w:hAnsi="Times New Roman;serif"/>
                <w:b w:val="false"/>
                <w:color w:val="000000"/>
                <w:sz w:val="12"/>
              </w:rPr>
              <w:t>(6)</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 xml:space="preserve">Uncertain tax contingencies </w:t>
            </w:r>
            <w:r>
              <w:rPr>
                <w:rFonts w:ascii="Times New Roman;serif" w:hAnsi="Times New Roman;serif"/>
                <w:b w:val="false"/>
                <w:color w:val="000000"/>
                <w:sz w:val="12"/>
              </w:rPr>
              <w:t>(7)</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unamortized debt discounts, unamortized debt issuance costs, and fair value adjustments. Includes $44.5 million of outstanding ABL borrowings. For further details related to long-term debt, see Note 6 “Financing Arrangements” in the Notes to Condensed Consolidated Financial Statements in Part I, Item 1 of this Form 10-Q.</w:t>
            </w:r>
          </w:p>
        </w:tc>
      </w:tr>
      <w:t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Long-term debt may have fixed or variable interest rates. For further details, see Note 6 “Financing Arrangements” in the Notes to Condensed Consolidated Financial Statements in Part I, Item 1 of this Form 10-Q.</w:t>
            </w:r>
          </w:p>
        </w:tc>
      </w:tr>
      <w:t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commitments for future minimum lease payments under financing leases. For further details, see Note 5 “Leases” in the Notes to Condensed Consolidated Financial Statements in Part I, Item 1 of this Form 10-Q.</w:t>
            </w:r>
          </w:p>
        </w:tc>
      </w:tr>
      <w:t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commitments for future minimum lease payments under operating leases. For further details, see Note 5 “Leases” in the Notes to Condensed Consolidated Financial Statements in Part I, Item 1 of this Form 10-Q.</w:t>
            </w:r>
          </w:p>
        </w:tc>
      </w:tr>
      <w:t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 xml:space="preserve">Represents future minimum lease payments under lease agreements that have not yet commenced as of September 30, 2026, in relation to future TravisMathew retail stores. For further discussion, see Note 5 “Leases” in the Notes to Condensed Consolidated Financial Statements in Part I, Item 1 of this Form 10-Q. </w:t>
            </w:r>
          </w:p>
        </w:tc>
      </w:tr>
      <w:t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During the normal course of business, we enter into agreements to purchase goods and services, including commitments for endorsement agreements with professional athletes and other endorsers, consulting and service agreements, and intellectual property licensing agreements pursuant to which we are required to pay royalty fees. The amounts listed above approximate the minimum purchase obligations we are obligated to pay under these agreements over the next five years and thereafter as of September 30, 2026. The actual amounts paid under some of the agreements may be higher or lower than these amounts. In addition, we also enter into unconditional purchase obligations with various vendors and suppliers of goods and services during the normal course of business through purchase orders or other documentation or that are undocumented except for an invoice. For further details, see Note 12 “Commitments &amp; Contingencies” in the Notes to Condensed Consolidated Financial Statements in Part I, Item 1 of this Form 10-Q.</w:t>
            </w:r>
          </w:p>
        </w:tc>
      </w:tr>
      <w:t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Amounts</w:t>
            </w:r>
            <w:r>
              <w:rPr>
                <w:color w:val="FF0000"/>
              </w:rPr>
              <w:t xml:space="preserve"> </w:t>
            </w:r>
            <w:r>
              <w:rPr>
                <w:rFonts w:ascii="Times New Roman;serif" w:hAnsi="Times New Roman;serif"/>
                <w:b w:val="false"/>
                <w:color w:val="000000"/>
                <w:sz w:val="16"/>
              </w:rPr>
              <w:t>represent current and non-current portions of uncertain income tax positions as recorded on our condensed consolidated balance sheets as of September 30, 2026. Amounts exclude uncertain income tax positions that we would be able to offset against deferred taxes. For further discussion, see Note 11 “Income Taxes” in the Notes to Condensed Consolidated Financial Statements in Part I, Item 1 of this Form 10-Q.</w:t>
            </w:r>
          </w:p>
        </w:tc>
      </w:tr>
    </w:tbl>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business, we have made certain indemnities, commitments and guarantees under which we may be required to make payments in relation to certain transactions. These include (i) intellectual property indemnities to our customers and licensees in connection with the use, sale and/or license of our products or trademarks, (ii) indemnities to various lessors in connection with facility leases for certain claims arising from such facilities or leases, (iii) indemnities to vendors and service providers pertaining to the goods or services provided to us or based on the negligence or willful misconduct, and (iv) indemnities involving the accuracy of representations and warranties in certain contracts. In addition, we have made contractual commitments to each of our officers and certain other employees providing for severance payments upon the termination of employment. We have also made certain indemnities under which we may be required to make payments in relation to divestitures of the Topgolf and Jack Wolfskin businesses. These include indemnities against (i) damages arising from certain ongoing litigation matters, (ii) certain exempted claims and (iii) certain pre-closing tax and other liabilities.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duration of these indemnities, commitments and guarantees varies, and in certain cases may be indefinite. The majority of these indemnities, commitments and guarantees do not provide for any limitation on the maximum amount of future payments we could be obligated to make. Historically, costs incurred to settle claims related to indemnities have not been material to our financial position, results of operations or cash flows. In addition, we believe the likelihood is remote that payments under the commitments and guarantees described above will have a material effect on our financial condition. The fair value of indemnities, commitments and guarantees that we issued during the nine months ended September 30, 2026 was not material to our financial position, results of operations or cash flows.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16610"/>
                <wp:effectExtent l="0" t="0" r="0" b="0"/>
                <wp:wrapNone/>
                <wp:docPr id="45" name="Frame4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2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to the contractual obligations listed above, our liquidity could also be adversely affected by an unfavorable outcome with respect to claims and litigation that we are subject to from time to time (see Note 12 “Commitments &amp; Contingencies” in the Notes to Condensed Consolidated Financial Statements in Part I, Item 1 and “Legal Proceedings” in Part II, Item 1 of this Form 10-Q).</w:t>
      </w:r>
    </w:p>
    <w:p>
      <w:pPr>
        <w:pStyle w:val="TextBody"/>
        <w:bidi w:val="0"/>
        <w:spacing w:lineRule="auto" w:line="288" w:before="12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no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2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Capital expenditures</w:t>
      </w:r>
    </w:p>
    <w:p>
      <w:pPr>
        <w:pStyle w:val="TextBody"/>
        <w:bidi w:val="0"/>
        <w:spacing w:lineRule="auto" w:line="288" w:before="100" w:after="283"/>
        <w:ind w:left="0" w:right="0" w:firstLine="495"/>
        <w:jc w:val="both"/>
      </w:pPr>
      <w:r>
        <w:rPr>
          <w:rFonts w:ascii="Times New Roman;serif" w:hAnsi="Times New Roman;serif"/>
          <w:b w:val="false"/>
          <w:color w:val="000000"/>
          <w:sz w:val="20"/>
        </w:rPr>
        <w:t>Total estimated capital expenditures for the year ending</w:t>
      </w:r>
      <w:r>
        <w:rPr>
          <w:color w:val="000000"/>
          <w:shd w:fill="FFFFFF" w:val="clear"/>
        </w:rPr>
        <w:t xml:space="preserve"> </w:t>
      </w:r>
      <w:r>
        <w:rPr>
          <w:rFonts w:ascii="Times New Roman;serif" w:hAnsi="Times New Roman;serif"/>
          <w:b w:val="false"/>
          <w:color w:val="000000"/>
          <w:sz w:val="20"/>
          <w:shd w:fill="FFFFFF" w:val="clear"/>
        </w:rPr>
        <w:t>December 31, 2026, are expected to be approxim</w:t>
      </w:r>
      <w:r>
        <w:rPr>
          <w:rFonts w:ascii="Times New Roman;serif" w:hAnsi="Times New Roman;serif"/>
          <w:b w:val="false"/>
          <w:color w:val="000000"/>
          <w:sz w:val="20"/>
        </w:rPr>
        <w:t xml:space="preserve">ately $40.0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there have been no material changes to our critical accounting estimates from the information reported in our Form 10-K for the fiscal year ended December 31, 2025,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derivative financial instruments to mitigate our exposure to changes in foreign currency exchange rates and interest rates. Transactions involving these financial instruments are with creditworthy banks, primarily banks that are party to our credit facilities (see Note 6 “Financing Arrangements” and Note 15 “Derivatives and Hedging” in the Notes to Condensed Consolidated Financial Statements in Part I, Item 1 of this Form 10-Q). The use of these instruments exposes us to market and credit risk which may at times be concentrated with certain counterparties, although counterparty nonperformance is not anticipated.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 Fluctuations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about our foreign currency hedging activities is set forth in Note 15 “Derivatives and Hedging” in the Notes to Condensed Consolidated Financial Statements included in Part I, Item 1, of this Form 10-Q, which is incorporated herein by this reference.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our risk management procedure, a sensitivity analysis model is used to measure the potential loss in future earnings of market-sensitive instruments resulting from one or more selected hypothetical changes in interest rates or foreign currency values. The sensitivity analysis model quantifies the estimated potential effect of unfavorable movements of 10% in foreign currencies to which we were exposed at September 30, 2026 through our foreign currency forward contracts.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September 30, 2026, the estimated loss from our foreign currency forward contracts, calculated using the sensitivity analysis model described above, was $12.6 million. We believe that such a hypothetical loss from our foreign currency forward contracts would be partially offset by increases in the value of the underlying transactions being hedged.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sensitivity analysis model is a risk analysis tool and does not purport to represent actual losses in earnings that we will incur, nor does it consider the potential effect of favorable changes in market rates. It also does not represent the maximum possible loss that may occur. Actual future gains and losses will differ from those estimated because of changes or differences in market rates and interrelationships, hedging instruments and hedge percentages, timing and other factors.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6610"/>
                <wp:effectExtent l="0" t="0" r="0" b="0"/>
                <wp:wrapNone/>
                <wp:docPr id="46" name="Frame4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 Fluctuations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from our credit facilities and long-term borrowing commitments. Outstanding borrowings under these credit facilities and long-term borrowing commitments accrue interest as described in Note 6 “Financing Arrangements” in the Notes to Condensed Consolidated Financial Statements in Part I, Item 1, and in “Liquidity and Capital Resources” in Part I, Item 2 of this Form 10-Q. Our long-term borrowing commitments are subject to interest rate fluctuations, which could be material to our cash flows and results of operations. In order to mitigate this risk, we may enter into interest rate swap contracts as part of our interest rate risk management strategy. Information about our interest rate hedges is provided in Note 15 “Derivatives and Hedging” in the Notes to Condensed Consolidated Financial Statements in Part I, Item 1 of this Form 10-Q. In order to determine the impact of unfavorable changes in interest rates on our cash flows and results of operations, we performed a sensitivity analysis as part of our risk management procedures. The sensitivity analysis quantified that the incremental expense incurred by a 10% increase in interest rates would result in an approximate annual increase of $0.1 million in interest expense on our existing principal balance as of September 30,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continued increase in inflation partially contributed to the increase in the cost of our products as well as our operating costs. If the cost of our products, employee costs, or other costs continue to be subject to significant inflationary pressures, such inflationary pressures may have an adverse effect on our ability to maintain current levels of gross margin and selling, general and administrative expenses. Further, we may not be able to offset these increased costs through price increases. As a result, our inability to quickly respond to inflation could harm our cash flows and results of operations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120" w:after="283"/>
        <w:ind w:left="0" w:right="0" w:firstLine="495"/>
        <w:jc w:val="both"/>
      </w:pPr>
      <w:r>
        <w:rPr>
          <w:rFonts w:ascii="Times New Roman;serif" w:hAnsi="Times New Roman;serif"/>
          <w:b w:val="false"/>
          <w:i/>
          <w:color w:val="000000"/>
          <w:sz w:val="20"/>
        </w:rPr>
        <w:t>Disclosure Controls and Procedures.</w:t>
      </w:r>
      <w:r>
        <w:rPr>
          <w:color w:val="000000"/>
        </w:rPr>
        <w:t xml:space="preser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Chief Financial Officer, of the effectiveness, as of September 30, 2026, of our disclosure controls and procedures (as defined in Rules 13a-15(e) and 15d-15(e) under the Securities Exchange Act of 1934, as amended (the “Exchange Act”)). Based upon that evaluation, the Chief Executive Officer and Chief Financial Officer concluded that our disclosure controls and procedures were effective as of September 30, 2026.</w:t>
      </w:r>
    </w:p>
    <w:p>
      <w:pPr>
        <w:pStyle w:val="TextBody"/>
        <w:bidi w:val="0"/>
        <w:spacing w:lineRule="auto" w:line="288" w:before="120" w:after="283"/>
        <w:ind w:left="0" w:right="0" w:firstLine="495"/>
        <w:jc w:val="both"/>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xml:space="preserve">. </w:t>
      </w:r>
    </w:p>
    <w:p>
      <w:pPr>
        <w:pStyle w:val="TextBody"/>
        <w:bidi w:val="0"/>
        <w:spacing w:lineRule="auto" w:line="288" w:before="120" w:after="283"/>
        <w:ind w:left="0" w:right="0" w:firstLine="450"/>
        <w:jc w:val="both"/>
      </w:pPr>
      <w:r>
        <w:rPr>
          <w:rFonts w:ascii="Times New Roman;serif" w:hAnsi="Times New Roman;serif"/>
          <w:b w:val="false"/>
          <w:color w:val="000000"/>
          <w:sz w:val="20"/>
          <w:shd w:fill="FFFFFF" w:val="clear"/>
        </w:rPr>
        <w:t xml:space="preserve">There were no changes in our internal controls over financial reporting (as such term is defined in Rules 13a-15(f) and 15d-15(f) under the Exchange Act) that have materially affected, or are reasonably likely to materially affect, our internal control over financial reporting during the three months ended </w:t>
      </w:r>
      <w:r>
        <w:rPr>
          <w:rFonts w:ascii="Times New Roman;serif" w:hAnsi="Times New Roman;serif"/>
          <w:b w:val="false"/>
          <w:color w:val="000000"/>
          <w:sz w:val="20"/>
        </w:rPr>
        <w:t>September 30, 2026</w:t>
      </w:r>
      <w:r>
        <w:rPr>
          <w:rFonts w:ascii="Times New Roman;serif" w:hAnsi="Times New Roman;serif"/>
          <w:b w:val="false"/>
          <w:color w:val="000000"/>
          <w:sz w:val="20"/>
          <w:shd w:fill="FFFFFF" w:val="clear"/>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before="120" w:after="283"/>
        <w:ind w:left="0" w:right="0" w:firstLine="45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6610"/>
                <wp:effectExtent l="0" t="0" r="0" b="0"/>
                <wp:wrapNone/>
                <wp:docPr id="47" name="Frame4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Note 12 “Commitments &amp; Contingencies” in the Notes to Condensed Consolidated Financial Statements included in Part I, Item 1, of this Form 10-Q, is incorporated herein by this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Certain Factors Affecting Callaway Golf Company</w:t>
      </w:r>
    </w:p>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included in Part I, Item 1A of our Annual Report on Form 10-K for the year ended December 31, 2025, a description of certain risks and uncertainties that could affect our business, future performance or financial condition (the “Risk Factors”). Investors should consider the Risk Factors prior to making an investment decision with respect to our stock. There are no material changes from the disclosure provided in the Form 10-K for the year ended December 31, 2025 with respect to the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pPr>
      <w:r>
        <w:rPr>
          <w:rFonts w:ascii="Times New Roman;serif" w:hAnsi="Times New Roman;serif"/>
          <w:b/>
          <w:color w:val="000000"/>
          <w:sz w:val="20"/>
        </w:rPr>
        <w:t>Item 2.    </w:t>
      </w:r>
      <w:r>
        <w:rPr>
          <w:rFonts w:ascii="Times New Roman;serif" w:hAnsi="Times New Roman;serif"/>
          <w:b/>
          <w:i/>
          <w:color w:val="000000"/>
          <w:sz w:val="20"/>
        </w:rPr>
        <w:t>Unregistered Sales of Equity Securities and Use of Proceeds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 Purchases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January 2026, we announced that our Board of Directors authorized a $200.0 million share repurchase program (the “Repurchase Program”) under which we are authorized to repurchase shares of our common stock in the open market or in private transactions, subject to our assessment of market conditions and repurchase opportunities. We will assess market conditions, buying opportunities and other factors from time to time and will make strategic repurchases as appropriate. The repurchases will be made in compliance with Rule 10b-18 under the Exchange Act, subject to market conditions, applicable legal requirements and other factors, and the repurchases will be made consistent with the terms of our credit facilities, which define the amount of stock that can be repurchased. The Repurchase Program does not require us to acquire a specific number of shares and it will remain in effect until completed or until terminated by the Board of Directors. During the third quarter of 2026, we repurchased 3.0 million shares of our common stock under the Repurchase Program at a weighted average price per share of $16.62, for a total cost of $50.1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purchases during the third quarter of 2026 and includes amounts repurchased under the Repurchase Program and shares withheld to satisfy payroll tax withholding obligations in connection with the vesting and settlement of employee restricted stock unit awards and performance share unit awards. Our repurchases of shares of common stock are recorded at cost and result in a reduction of shareholders’ equity.</w:t>
      </w:r>
    </w:p>
    <w:tbl>
      <w:tblPr>
        <w:tblW w:w="10205" w:type="dxa"/>
        <w:jc w:val="center"/>
        <w:tblInd w:w="0" w:type="dxa"/>
        <w:tblLayout w:type="fixed"/>
        <w:tblCellMar>
          <w:top w:w="28" w:type="dxa"/>
          <w:left w:w="28" w:type="dxa"/>
          <w:bottom w:w="28" w:type="dxa"/>
          <w:right w:w="28" w:type="dxa"/>
        </w:tblCellMar>
      </w:tblPr>
      <w:tblGrid>
        <w:gridCol w:w="764"/>
        <w:gridCol w:w="384"/>
        <w:gridCol w:w="389"/>
        <w:gridCol w:w="109"/>
        <w:gridCol w:w="109"/>
        <w:gridCol w:w="109"/>
        <w:gridCol w:w="435"/>
        <w:gridCol w:w="436"/>
        <w:gridCol w:w="376"/>
        <w:gridCol w:w="109"/>
        <w:gridCol w:w="109"/>
        <w:gridCol w:w="109"/>
        <w:gridCol w:w="269"/>
        <w:gridCol w:w="765"/>
        <w:gridCol w:w="152"/>
        <w:gridCol w:w="109"/>
        <w:gridCol w:w="109"/>
        <w:gridCol w:w="109"/>
        <w:gridCol w:w="870"/>
        <w:gridCol w:w="782"/>
        <w:gridCol w:w="784"/>
        <w:gridCol w:w="109"/>
        <w:gridCol w:w="109"/>
        <w:gridCol w:w="109"/>
        <w:gridCol w:w="348"/>
        <w:gridCol w:w="1866"/>
        <w:gridCol w:w="277"/>
      </w:tblGrid>
      <w:tr>
        <w:tc>
          <w:tcPr>
            <w:tcW w:w="76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r>
      <w:t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Price</w:t>
              <w:br/>
              <w:t>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Dollar Value that May Yet Be Purchased Under the Program</w:t>
            </w:r>
          </w:p>
        </w:tc>
      </w:tr>
      <w:t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673,840 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673,840 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107,425,564 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 2026 -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1,300,324 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1,259,744 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86,520,612 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 2026 -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1,102,319 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1,102,319 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69,862,591 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3,076,483 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3,035,903 </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69,862,591 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3"/>
            <w:tcBorders/>
            <w:vAlign w:val="center"/>
          </w:tcPr>
          <w:p>
            <w:pPr>
              <w:pStyle w:val="TableContents"/>
              <w:bidi w:val="0"/>
              <w:spacing w:before="0" w:after="283"/>
              <w:jc w:val="left"/>
              <w:rPr>
                <w:sz w:val="4"/>
                <w:szCs w:val="4"/>
              </w:rPr>
            </w:pPr>
            <w:r>
              <w:rPr>
                <w:sz w:val="4"/>
                <w:szCs w:val="4"/>
              </w:rPr>
            </w:r>
          </w:p>
        </w:tc>
      </w:tr>
      <w:tr>
        <w:tc>
          <w:tcPr>
            <w:tcW w:w="1537" w:type="dxa"/>
            <w:gridSpan w:val="3"/>
            <w:tcBorders/>
            <w:vAlign w:val="center"/>
          </w:tcPr>
          <w:p>
            <w:pPr>
              <w:pStyle w:val="TableContents"/>
              <w:bidi w:val="0"/>
              <w:spacing w:before="0" w:after="283"/>
              <w:jc w:val="left"/>
              <w:rPr>
                <w:sz w:val="4"/>
                <w:szCs w:val="4"/>
              </w:rPr>
            </w:pPr>
            <w:r>
              <w:rPr>
                <w:sz w:val="4"/>
                <w:szCs w:val="4"/>
              </w:rPr>
            </w:r>
          </w:p>
        </w:tc>
        <w:tc>
          <w:tcPr>
            <w:tcW w:w="8668"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2026, we also repurchased less than 0.1 million shares of our common stock at an average cost per share of $15.77, for a total cost of approximately $0.6 million, which were related to shares withheld to satisfy payroll tax withholding obligations as described above and not pursuant to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pPr>
      <w:r>
        <w:rPr>
          <w:rFonts w:ascii="Times New Roman;serif" w:hAnsi="Times New Roman;serif"/>
          <w:b/>
          <w:color w:val="000000"/>
          <w:sz w:val="20"/>
        </w:rPr>
        <w:t>Item 3.    </w:t>
      </w:r>
      <w:r>
        <w:rPr>
          <w:rFonts w:ascii="Times New Roman;serif" w:hAnsi="Times New Roman;serif"/>
          <w:b/>
          <w:i/>
          <w:color w:val="000000"/>
          <w:sz w:val="20"/>
        </w:rPr>
        <w:t>Defaults upon Senior Securities</w:t>
      </w:r>
    </w:p>
    <w:p>
      <w:pPr>
        <w:pStyle w:val="TextBody"/>
        <w:bidi w:val="0"/>
        <w:spacing w:lineRule="auto" w:line="288" w:before="12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12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6610"/>
                <wp:effectExtent l="0" t="0" r="0" b="0"/>
                <wp:wrapNone/>
                <wp:docPr id="48" name="Frame4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180" w:after="283"/>
        <w:jc w:val="both"/>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10b5-1 Trading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adoption or termination of contracts, instructions or written plans for the purchase or sale of our securities by our officers and directors for the three months ended September 30, 2026, each of which is intended to satisfy the affirmative defense conditions of Rule 10b5-1(c) under the Exchange Act (each, a “10b5-1 Plan”), were as follows: </w:t>
      </w:r>
    </w:p>
    <w:tbl>
      <w:tblPr>
        <w:tblW w:w="10205" w:type="dxa"/>
        <w:jc w:val="left"/>
        <w:tblInd w:w="0" w:type="dxa"/>
        <w:tblLayout w:type="fixed"/>
        <w:tblCellMar>
          <w:top w:w="28" w:type="dxa"/>
          <w:left w:w="28" w:type="dxa"/>
          <w:bottom w:w="28" w:type="dxa"/>
          <w:right w:w="28" w:type="dxa"/>
        </w:tblCellMar>
      </w:tblPr>
      <w:tblGrid>
        <w:gridCol w:w="411"/>
        <w:gridCol w:w="292"/>
        <w:gridCol w:w="298"/>
        <w:gridCol w:w="118"/>
        <w:gridCol w:w="118"/>
        <w:gridCol w:w="118"/>
        <w:gridCol w:w="880"/>
        <w:gridCol w:w="601"/>
        <w:gridCol w:w="610"/>
        <w:gridCol w:w="118"/>
        <w:gridCol w:w="118"/>
        <w:gridCol w:w="118"/>
        <w:gridCol w:w="361"/>
        <w:gridCol w:w="361"/>
        <w:gridCol w:w="366"/>
        <w:gridCol w:w="118"/>
        <w:gridCol w:w="118"/>
        <w:gridCol w:w="118"/>
        <w:gridCol w:w="511"/>
        <w:gridCol w:w="511"/>
        <w:gridCol w:w="513"/>
        <w:gridCol w:w="118"/>
        <w:gridCol w:w="118"/>
        <w:gridCol w:w="118"/>
        <w:gridCol w:w="368"/>
        <w:gridCol w:w="368"/>
        <w:gridCol w:w="369"/>
        <w:gridCol w:w="118"/>
        <w:gridCol w:w="118"/>
        <w:gridCol w:w="118"/>
        <w:gridCol w:w="467"/>
        <w:gridCol w:w="467"/>
        <w:gridCol w:w="681"/>
      </w:tblGrid>
      <w:tr>
        <w:tc>
          <w:tcPr>
            <w:tcW w:w="41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Adoption or Termination</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 Date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Number of Securities to be Sold</w:t>
            </w:r>
          </w:p>
        </w:tc>
      </w:tr>
      <w:tr>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Oliver G. Brewer III</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President and CEO</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18"/>
              </w:rPr>
              <w:t xml:space="preserve">Termination </w:t>
            </w:r>
            <w:r>
              <w:rPr>
                <w:rFonts w:ascii="Times New Roman;serif" w:hAnsi="Times New Roman;serif"/>
                <w:b w:val="false"/>
                <w:color w:val="000000"/>
                <w:sz w:val="12"/>
              </w:rPr>
              <w:t>(1)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30, 2026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266,545</w:t>
            </w:r>
          </w:p>
        </w:tc>
      </w:tr>
      <w:tr>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 F. Leposky</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EVP and Chief Supply Chain Officer</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 2026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31, 2027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101,524</w:t>
            </w:r>
          </w:p>
        </w:tc>
      </w:tr>
      <w:tr>
        <w:tc>
          <w:tcPr>
            <w:tcW w:w="1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Timothy R. Reed</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EVP of Golf Club Research and Development, Strategy and Fitting</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9, 2026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31, 2027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63,102</w:t>
            </w:r>
          </w:p>
        </w:tc>
      </w:tr>
      <w:tr>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Jennifer L. Thomas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SVP and Chief Accounting Officer</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Adoption</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10, 2026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31, 2027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27,462</w:t>
            </w:r>
          </w:p>
        </w:tc>
      </w:tr>
      <w:t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180"/>
              <w:jc w:val="both"/>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On July 30, 2026, Mr. Brewer terminated three 10b5-1 Plans, each of which was adopted on February 23, 2023 and provided for sales of our shares held by trusts established for the benefit of Mr. Brewer’s children. The 10b5-1 Plans provided for the sale of up to 88,848, 88,848 and 88,849 shares, respectively. None of the 10b5-1 Plans had a defined expiration date. </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as described above, during the three months ended September 30, 2026, none of our officers or directors adopted or terminated a 10b5-1 Plan or any “non Rule 10b5-1 trading arrangement.”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02"/>
        <w:gridCol w:w="269"/>
        <w:gridCol w:w="109"/>
        <w:gridCol w:w="109"/>
        <w:gridCol w:w="109"/>
        <w:gridCol w:w="109"/>
        <w:gridCol w:w="3035"/>
        <w:gridCol w:w="2945"/>
        <w:gridCol w:w="2954"/>
        <w:gridCol w:w="109"/>
        <w:gridCol w:w="155"/>
      </w:tblGrid>
      <w:tr>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
              <w:r>
                <w:rPr>
                  <w:rStyle w:val="InternetLink"/>
                  <w:rFonts w:ascii="Times New Roman;serif" w:hAnsi="Times New Roman;serif"/>
                  <w:b w:val="false"/>
                  <w:color w:val="000000"/>
                  <w:sz w:val="18"/>
                </w:rPr>
                <w:t>Fourth Restated Certificate of Incorporation of the Company, incorporated herein by this reference to Exhibit 3.2 to the Company’s Current Report on Form 8-K, as filed with the Commission on January 16,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
              <w:r>
                <w:rPr>
                  <w:rStyle w:val="InternetLink"/>
                  <w:rFonts w:ascii="Times New Roman;serif" w:hAnsi="Times New Roman;serif"/>
                  <w:b w:val="false"/>
                  <w:color w:val="000000"/>
                  <w:sz w:val="18"/>
                </w:rPr>
                <w:t>Amended and Restated Bylaws of the Company, incorporated herein by this reference to Exhibit 3.3 to the Company’s Current Report on Form 8-K, as filed with the Commission on January 16,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a1caly-exx311q32026.htm">
              <w:r>
                <w:rPr>
                  <w:rStyle w:val="InternetLink"/>
                  <w:rFonts w:ascii="Times New Roman;serif" w:hAnsi="Times New Roman;serif"/>
                  <w:b w:val="false"/>
                  <w:color w:val="000000"/>
                  <w:sz w:val="18"/>
                </w:rPr>
                <w:t>Certification of Oliver G. Brewer III pursuant to Rule 13a-14(a) or 15d-14(a), as adopted pursuant to Section 302 of the Sarbanes-Oxley Act of 2002.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a2caly-exx312q32026.htm">
              <w:r>
                <w:rPr>
                  <w:rStyle w:val="InternetLink"/>
                  <w:rFonts w:ascii="Times New Roman;serif" w:hAnsi="Times New Roman;serif"/>
                  <w:b w:val="false"/>
                  <w:color w:val="000000"/>
                  <w:sz w:val="18"/>
                </w:rPr>
                <w:t>Certification of Brian P. Lynch pursuant to Rule 13a-14(a) or 15d-14(a), as adopted pursuant to Section 302 of the Sarbanes-Oxley Act of 2002.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a3caly-exx321q32026.htm">
              <w:r>
                <w:rPr>
                  <w:rStyle w:val="InternetLink"/>
                  <w:rFonts w:ascii="Times New Roman;serif" w:hAnsi="Times New Roman;serif"/>
                  <w:b w:val="false"/>
                  <w:color w:val="000000"/>
                  <w:sz w:val="18"/>
                </w:rPr>
                <w:t>Certification of Oliver G. Brewer III and Brian P. Lynch pursuant to 18 U.S.C. Section 1350, as adopted pursuant to Section 906 of the Sarbanes-Oxley Act of 2002.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Included with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40410"/>
                <wp:effectExtent l="0" t="0" r="0" b="0"/>
                <wp:wrapNone/>
                <wp:docPr id="49" name="Frame4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pPr>
      <w:r/>
    </w:p>
    <w:p>
      <w:pPr>
        <w:pStyle w:val="TextBody"/>
        <w:bidi w:val="0"/>
        <w:spacing w:before="0" w:after="0"/>
        <w:ind w:left="0" w:right="0" w:firstLine="720"/>
        <w:jc w:val="both"/>
      </w:pPr>
      <w:r/>
    </w:p>
    <w:p>
      <w:pPr>
        <w:pStyle w:val="TextBody"/>
        <w:bidi w:val="0"/>
        <w:spacing w:before="0" w:after="0"/>
        <w:ind w:left="0" w:right="0" w:firstLine="720"/>
        <w:jc w:val="both"/>
      </w:p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349" w:type="dxa"/>
        <w:jc w:val="right"/>
        <w:tblInd w:w="0" w:type="dxa"/>
        <w:tblLayout w:type="fixed"/>
        <w:tblCellMar>
          <w:top w:w="28" w:type="dxa"/>
          <w:left w:w="28" w:type="dxa"/>
          <w:bottom w:w="28" w:type="dxa"/>
          <w:right w:w="28" w:type="dxa"/>
        </w:tblCellMar>
      </w:tblPr>
      <w:tblGrid>
        <w:gridCol w:w="485"/>
        <w:gridCol w:w="427"/>
        <w:gridCol w:w="427"/>
        <w:gridCol w:w="586"/>
        <w:gridCol w:w="586"/>
        <w:gridCol w:w="838"/>
      </w:tblGrid>
      <w:tr>
        <w:tc>
          <w:tcPr>
            <w:tcW w:w="4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c>
          <w:tcPr>
            <w:tcW w:w="33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CALLAWAY GOLF COMPANY</w:t>
            </w:r>
          </w:p>
        </w:tc>
      </w:tr>
      <w:t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Thomas</w:t>
            </w:r>
          </w:p>
        </w:tc>
      </w:tr>
      <w:t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Thomas</w:t>
            </w:r>
          </w:p>
        </w:tc>
      </w:tr>
      <w:t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w:t>
              <w:br/>
              <w:t>Chief Accounting Officer</w:t>
            </w:r>
          </w:p>
        </w:tc>
      </w:tr>
    </w:tbl>
    <w:p>
      <w:pPr>
        <w:pStyle w:val="TextBody"/>
        <w:bidi w:val="0"/>
        <w:spacing w:lineRule="auto" w:line="288" w:before="180" w:after="283"/>
        <w:jc w:val="both"/>
      </w:pPr>
      <w:r>
        <w:rPr>
          <w:rFonts w:ascii="Times New Roman;serif" w:hAnsi="Times New Roman;serif"/>
          <w:b w:val="false"/>
          <w:color w:val="000000"/>
          <w:sz w:val="20"/>
        </w:rPr>
        <w:t>Date:</w:t>
      </w:r>
      <w:r>
        <w:rPr>
          <w:color w:val="000000"/>
          <w:shd w:fill="FFFFFF" w:val="clear"/>
        </w:rPr>
        <w:t xml:space="preserve"> </w:t>
      </w:r>
      <w:r>
        <w:rPr>
          <w:rFonts w:ascii="Times New Roman;serif" w:hAnsi="Times New Roman;serif"/>
          <w:b w:val="false"/>
          <w:color w:val="000000"/>
          <w:sz w:val="20"/>
          <w:shd w:fill="FFFFFF" w:val="clear"/>
        </w:rPr>
        <w:t>November 5, 2026</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6610"/>
                <wp:effectExtent l="0" t="0" r="0" b="0"/>
                <wp:wrapNone/>
                <wp:docPr id="50" name="Frame5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pPr>
                      <w:r/>
                    </w:p>
                    <w:p>
                      <w:pPr>
                        <w:pStyle w:val="TextBody"/>
                        <w:bidi w:val="0"/>
                        <w:spacing w:before="100" w:after="283"/>
                        <w:jc w:val="center"/>
                      </w:p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Oliver G. Brewer III,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Callaway Golf Company;</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910" w:type="dxa"/>
        <w:jc w:val="right"/>
        <w:tblInd w:w="0" w:type="dxa"/>
        <w:tblLayout w:type="fixed"/>
        <w:tblCellMar>
          <w:top w:w="28" w:type="dxa"/>
          <w:left w:w="28" w:type="dxa"/>
          <w:bottom w:w="28" w:type="dxa"/>
          <w:right w:w="28" w:type="dxa"/>
        </w:tblCellMar>
      </w:tblPr>
      <w:tblGrid>
        <w:gridCol w:w="932"/>
        <w:gridCol w:w="819"/>
        <w:gridCol w:w="1159"/>
      </w:tblGrid>
      <w:t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20"/>
              </w:rPr>
              <w:t>/s/ O</w:t>
            </w:r>
            <w:r>
              <w:rPr>
                <w:rFonts w:ascii="Times New Roman;serif" w:hAnsi="Times New Roman;serif"/>
                <w:b w:val="false"/>
                <w:color w:val="000000"/>
                <w:sz w:val="16"/>
              </w:rPr>
              <w:t>LIVER</w:t>
            </w:r>
            <w:r>
              <w:rPr>
                <w:color w:val="000000"/>
              </w:rPr>
              <w:t xml:space="preserve"> </w:t>
            </w:r>
            <w:r>
              <w:rPr>
                <w:rFonts w:ascii="Times New Roman;serif" w:hAnsi="Times New Roman;serif"/>
                <w:b w:val="false"/>
                <w:color w:val="000000"/>
                <w:sz w:val="20"/>
              </w:rPr>
              <w:t>G. B</w:t>
            </w:r>
            <w:r>
              <w:rPr>
                <w:rFonts w:ascii="Times New Roman;serif" w:hAnsi="Times New Roman;serif"/>
                <w:b w:val="false"/>
                <w:color w:val="000000"/>
                <w:sz w:val="16"/>
              </w:rPr>
              <w:t>REWER</w:t>
            </w:r>
            <w:r>
              <w:rPr>
                <w:color w:val="000000"/>
              </w:rPr>
              <w:t xml:space="preserve"> </w:t>
            </w:r>
            <w:r>
              <w:rPr>
                <w:rFonts w:ascii="Times New Roman;serif" w:hAnsi="Times New Roman;serif"/>
                <w:b w:val="false"/>
                <w:color w:val="000000"/>
                <w:sz w:val="20"/>
              </w:rPr>
              <w:t>III</w:t>
            </w:r>
          </w:p>
        </w:tc>
      </w:tr>
      <w:t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Oliver G. Brewer III</w:t>
              <w:br/>
              <w:t>President and 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November 5, 2026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Brian P. Lynch,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Callaway Golf Company;</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990" w:type="dxa"/>
        <w:jc w:val="right"/>
        <w:tblInd w:w="0" w:type="dxa"/>
        <w:tblLayout w:type="fixed"/>
        <w:tblCellMar>
          <w:top w:w="28" w:type="dxa"/>
          <w:left w:w="28" w:type="dxa"/>
          <w:bottom w:w="28" w:type="dxa"/>
          <w:right w:w="28" w:type="dxa"/>
        </w:tblCellMar>
      </w:tblPr>
      <w:tblGrid>
        <w:gridCol w:w="1274"/>
        <w:gridCol w:w="1121"/>
        <w:gridCol w:w="1595"/>
      </w:tblGrid>
      <w:t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20"/>
              </w:rPr>
              <w:t>/s/ B</w:t>
            </w:r>
            <w:r>
              <w:rPr>
                <w:rFonts w:ascii="Times New Roman;serif" w:hAnsi="Times New Roman;serif"/>
                <w:b w:val="false"/>
                <w:color w:val="000000"/>
                <w:sz w:val="16"/>
              </w:rPr>
              <w:t>RIAN</w:t>
            </w:r>
            <w:r>
              <w:rPr>
                <w:color w:val="000000"/>
              </w:rPr>
              <w:t xml:space="preserve"> </w:t>
            </w:r>
            <w:r>
              <w:rPr>
                <w:rFonts w:ascii="Times New Roman;serif" w:hAnsi="Times New Roman;serif"/>
                <w:b w:val="false"/>
                <w:color w:val="000000"/>
                <w:sz w:val="20"/>
              </w:rPr>
              <w:t>P. L</w:t>
            </w:r>
            <w:r>
              <w:rPr>
                <w:rFonts w:ascii="Times New Roman;serif" w:hAnsi="Times New Roman;serif"/>
                <w:b w:val="false"/>
                <w:color w:val="000000"/>
                <w:sz w:val="16"/>
              </w:rPr>
              <w:t>YNCH</w:t>
            </w:r>
            <w:r>
              <w:rPr>
                <w:color w:val="000000"/>
              </w:rPr>
              <w:t xml:space="preserve"> </w:t>
            </w:r>
          </w:p>
        </w:tc>
      </w:tr>
      <w:t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Brian P. Lynch</w:t>
              <w:br/>
              <w:t>Executive Vice President and 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November 5, 2026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each of the undersigned officers of Callaway Golf Company, a Delaware corporation (the “Company”), does hereby certify with respect to the Quarterly Report of the Company on Form 10-Q for the quarter ended September 30, 2026, as filed with the Securities and Exchange Commission (the “10-Q Report”), that:</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(1) the 10-Q Report fully complies with the requirements of Sections 13(a) or 15(d) of the Securities Exchange Act of 1934, as amended; and</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10-Q Report fairly presents, in all material respects, the financial condition and results of operations of the Company.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undersigned have executed this Certification effective as of November 5, 2026.</w:t>
      </w:r>
    </w:p>
    <w:p>
      <w:pPr>
        <w:pStyle w:val="TextBody"/>
        <w:bidi w:val="0"/>
        <w:spacing w:lineRule="auto" w:line="288" w:before="0" w:after="0"/>
        <w:jc w:val="both"/>
        <w:rPr>
          <w:color w:val="000000"/>
        </w:rPr>
      </w:pPr>
      <w:r>
        <w:rPr>
          <w:color w:val="000000"/>
        </w:rPr>
        <w:t> </w:t>
      </w:r>
    </w:p>
    <w:tbl>
      <w:tblPr>
        <w:tblW w:w="2910" w:type="dxa"/>
        <w:jc w:val="right"/>
        <w:tblInd w:w="0" w:type="dxa"/>
        <w:tblLayout w:type="fixed"/>
        <w:tblCellMar>
          <w:top w:w="28" w:type="dxa"/>
          <w:left w:w="28" w:type="dxa"/>
          <w:bottom w:w="28" w:type="dxa"/>
          <w:right w:w="28" w:type="dxa"/>
        </w:tblCellMar>
      </w:tblPr>
      <w:tblGrid>
        <w:gridCol w:w="932"/>
        <w:gridCol w:w="819"/>
        <w:gridCol w:w="1159"/>
      </w:tblGrid>
      <w:t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20"/>
              </w:rPr>
              <w:t>/s/ O</w:t>
            </w:r>
            <w:r>
              <w:rPr>
                <w:rFonts w:ascii="Times New Roman;serif" w:hAnsi="Times New Roman;serif"/>
                <w:b w:val="false"/>
                <w:color w:val="000000"/>
                <w:sz w:val="16"/>
              </w:rPr>
              <w:t>LIVER</w:t>
            </w:r>
            <w:r>
              <w:rPr>
                <w:color w:val="000000"/>
              </w:rPr>
              <w:t xml:space="preserve"> </w:t>
            </w:r>
            <w:r>
              <w:rPr>
                <w:rFonts w:ascii="Times New Roman;serif" w:hAnsi="Times New Roman;serif"/>
                <w:b w:val="false"/>
                <w:color w:val="000000"/>
                <w:sz w:val="20"/>
              </w:rPr>
              <w:t>G. B</w:t>
            </w:r>
            <w:r>
              <w:rPr>
                <w:rFonts w:ascii="Times New Roman;serif" w:hAnsi="Times New Roman;serif"/>
                <w:b w:val="false"/>
                <w:color w:val="000000"/>
                <w:sz w:val="16"/>
              </w:rPr>
              <w:t>REWER</w:t>
            </w:r>
            <w:r>
              <w:rPr>
                <w:color w:val="000000"/>
              </w:rPr>
              <w:t xml:space="preserve"> </w:t>
            </w:r>
            <w:r>
              <w:rPr>
                <w:rFonts w:ascii="Times New Roman;serif" w:hAnsi="Times New Roman;serif"/>
                <w:b w:val="false"/>
                <w:color w:val="000000"/>
                <w:sz w:val="20"/>
              </w:rPr>
              <w:t>III</w:t>
            </w:r>
          </w:p>
        </w:tc>
      </w:tr>
      <w:t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Oliver G. Brewer III</w:t>
              <w:br/>
              <w:t>President and Chief Executive Officer</w:t>
            </w:r>
          </w:p>
        </w:tc>
      </w:tr>
    </w:tbl>
    <w:p>
      <w:pPr>
        <w:pStyle w:val="TextBody"/>
        <w:bidi w:val="0"/>
        <w:spacing w:lineRule="auto" w:line="288" w:before="0" w:after="0"/>
        <w:jc w:val="both"/>
        <w:rPr>
          <w:color w:val="000000"/>
        </w:rPr>
      </w:pPr>
      <w:r>
        <w:rPr>
          <w:color w:val="000000"/>
        </w:rPr>
        <w:t> </w:t>
      </w:r>
    </w:p>
    <w:tbl>
      <w:tblPr>
        <w:tblW w:w="3990" w:type="dxa"/>
        <w:jc w:val="right"/>
        <w:tblInd w:w="0" w:type="dxa"/>
        <w:tblLayout w:type="fixed"/>
        <w:tblCellMar>
          <w:top w:w="28" w:type="dxa"/>
          <w:left w:w="28" w:type="dxa"/>
          <w:bottom w:w="28" w:type="dxa"/>
          <w:right w:w="28" w:type="dxa"/>
        </w:tblCellMar>
      </w:tblPr>
      <w:tblGrid>
        <w:gridCol w:w="1274"/>
        <w:gridCol w:w="1121"/>
        <w:gridCol w:w="1595"/>
      </w:tblGrid>
      <w:t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20"/>
              </w:rPr>
              <w:t>/s/ B</w:t>
            </w:r>
            <w:r>
              <w:rPr>
                <w:rFonts w:ascii="Times New Roman;serif" w:hAnsi="Times New Roman;serif"/>
                <w:b w:val="false"/>
                <w:color w:val="000000"/>
                <w:sz w:val="16"/>
              </w:rPr>
              <w:t>RIAN</w:t>
            </w:r>
            <w:r>
              <w:rPr>
                <w:color w:val="000000"/>
              </w:rPr>
              <w:t xml:space="preserve"> </w:t>
            </w:r>
            <w:r>
              <w:rPr>
                <w:rFonts w:ascii="Times New Roman;serif" w:hAnsi="Times New Roman;serif"/>
                <w:b w:val="false"/>
                <w:color w:val="000000"/>
                <w:sz w:val="20"/>
              </w:rPr>
              <w:t>P. L</w:t>
            </w:r>
            <w:r>
              <w:rPr>
                <w:rFonts w:ascii="Times New Roman;serif" w:hAnsi="Times New Roman;serif"/>
                <w:b w:val="false"/>
                <w:color w:val="000000"/>
                <w:sz w:val="16"/>
              </w:rPr>
              <w:t>YNCH</w:t>
            </w:r>
            <w:r>
              <w:rPr>
                <w:color w:val="000000"/>
              </w:rPr>
              <w:t xml:space="preserve"> </w:t>
            </w:r>
          </w:p>
        </w:tc>
      </w:tr>
      <w:t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Brian P. Lynch</w:t>
              <w:br/>
              <w:t>Executive Vice President and Chief Financial Officer</w:t>
            </w:r>
          </w:p>
        </w:tc>
      </w:tr>
    </w:tbl>
    <w:p>
      <w:pPr>
        <w:pStyle w:val="TextBody"/>
        <w:bidi w:val="0"/>
        <w:jc w:val="right"/>
      </w:pPr>
      <w:r/>
    </w:p>
    <w:p>
      <w:pPr>
        <w:pStyle w:val="TextBody"/>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37465/000119312526014581/d77741dex32.htm" TargetMode="External"/><Relationship Id="rId3" Type="http://schemas.openxmlformats.org/officeDocument/2006/relationships/hyperlink" Target="https://www.sec.gov/Archives/edgar/data/837465/000119312526014581/d77741dex3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25859</Words>
  <Characters>142760</Characters>
  <CharactersWithSpaces>166458</CharactersWithSpaces>
  <Paragraphs>4439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